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0E87F0C" w14:textId="181DB6E6" w:rsidR="00807E37" w:rsidRPr="006F7E3E" w:rsidRDefault="00807E37" w:rsidP="00F4503C">
      <w:pPr>
        <w:pStyle w:val="MDPI11articletype"/>
      </w:pPr>
      <w:r w:rsidRPr="006F7E3E">
        <w:t>Article</w:t>
      </w:r>
      <w:r w:rsidR="007B0B2E" w:rsidRPr="006F7E3E">
        <w:t xml:space="preserve"> </w:t>
      </w:r>
    </w:p>
    <w:p w14:paraId="325EB4D2" w14:textId="324847A6" w:rsidR="00807E37" w:rsidRPr="006F7E3E" w:rsidRDefault="00930877" w:rsidP="00E93E70">
      <w:pPr>
        <w:pStyle w:val="MDPI12title"/>
      </w:pPr>
      <w:r w:rsidRPr="006F7E3E">
        <w:t xml:space="preserve">Stereoselective ROP of </w:t>
      </w:r>
      <w:proofErr w:type="spellStart"/>
      <w:r w:rsidR="00AF6500" w:rsidRPr="006F7E3E">
        <w:rPr>
          <w:i/>
        </w:rPr>
        <w:t>R</w:t>
      </w:r>
      <w:r w:rsidRPr="006F7E3E">
        <w:rPr>
          <w:i/>
        </w:rPr>
        <w:t>ac</w:t>
      </w:r>
      <w:proofErr w:type="spellEnd"/>
      <w:r w:rsidRPr="006F7E3E">
        <w:t xml:space="preserve">- and </w:t>
      </w:r>
      <w:r w:rsidR="00AF6500" w:rsidRPr="006F7E3E">
        <w:rPr>
          <w:i/>
        </w:rPr>
        <w:t>M</w:t>
      </w:r>
      <w:r w:rsidRPr="006F7E3E">
        <w:rPr>
          <w:i/>
        </w:rPr>
        <w:t>eso</w:t>
      </w:r>
      <w:r w:rsidRPr="006F7E3E">
        <w:t xml:space="preserve">-Lactides </w:t>
      </w:r>
      <w:r w:rsidR="00AF6500" w:rsidRPr="006F7E3E">
        <w:t>U</w:t>
      </w:r>
      <w:r w:rsidRPr="006F7E3E">
        <w:t>sing Achiral TBD as Catalyst</w:t>
      </w:r>
      <w:bookmarkStart w:id="0" w:name="_GoBack"/>
      <w:bookmarkEnd w:id="0"/>
    </w:p>
    <w:p w14:paraId="764B9E5F" w14:textId="77777777" w:rsidR="00807E37" w:rsidRPr="006F7E3E" w:rsidRDefault="00930877" w:rsidP="00E93E70">
      <w:pPr>
        <w:pStyle w:val="MDPI13authornames"/>
        <w:rPr>
          <w:lang w:val="fr-FR"/>
        </w:rPr>
      </w:pPr>
      <w:commentRangeStart w:id="1"/>
      <w:r w:rsidRPr="006F7E3E">
        <w:rPr>
          <w:lang w:val="fr-FR"/>
        </w:rPr>
        <w:t xml:space="preserve">Sébastien Moins </w:t>
      </w:r>
      <w:r w:rsidRPr="006F7E3E">
        <w:rPr>
          <w:vertAlign w:val="superscript"/>
          <w:lang w:val="fr-FR"/>
        </w:rPr>
        <w:t>1</w:t>
      </w:r>
      <w:r w:rsidRPr="006F7E3E">
        <w:rPr>
          <w:lang w:val="fr-FR"/>
        </w:rPr>
        <w:t>,</w:t>
      </w:r>
      <w:commentRangeEnd w:id="1"/>
      <w:r w:rsidR="00E93E70" w:rsidRPr="006F7E3E">
        <w:rPr>
          <w:rStyle w:val="Marquedecommentaire"/>
          <w:rFonts w:ascii="Times New Roman" w:hAnsi="Times New Roman"/>
          <w:b w:val="0"/>
          <w:lang w:bidi="ar-SA"/>
        </w:rPr>
        <w:commentReference w:id="1"/>
      </w:r>
      <w:r w:rsidRPr="006F7E3E">
        <w:rPr>
          <w:lang w:val="fr-FR"/>
        </w:rPr>
        <w:t xml:space="preserve"> Sébastien Hoyas </w:t>
      </w:r>
      <w:r w:rsidRPr="006F7E3E">
        <w:rPr>
          <w:vertAlign w:val="superscript"/>
          <w:lang w:val="fr-FR"/>
        </w:rPr>
        <w:t>2</w:t>
      </w:r>
      <w:r w:rsidRPr="006F7E3E">
        <w:rPr>
          <w:lang w:val="fr-FR"/>
        </w:rPr>
        <w:t xml:space="preserve">, Vincent </w:t>
      </w:r>
      <w:proofErr w:type="spellStart"/>
      <w:r w:rsidRPr="006F7E3E">
        <w:rPr>
          <w:lang w:val="fr-FR"/>
        </w:rPr>
        <w:t>Lemaur</w:t>
      </w:r>
      <w:proofErr w:type="spellEnd"/>
      <w:r w:rsidRPr="006F7E3E">
        <w:rPr>
          <w:lang w:val="fr-FR"/>
        </w:rPr>
        <w:t xml:space="preserve"> </w:t>
      </w:r>
      <w:r w:rsidRPr="006F7E3E">
        <w:rPr>
          <w:vertAlign w:val="superscript"/>
          <w:lang w:val="fr-FR"/>
        </w:rPr>
        <w:t>2</w:t>
      </w:r>
      <w:r w:rsidRPr="006F7E3E">
        <w:rPr>
          <w:lang w:val="fr-FR"/>
        </w:rPr>
        <w:t xml:space="preserve">, </w:t>
      </w:r>
      <w:proofErr w:type="spellStart"/>
      <w:r w:rsidRPr="006F7E3E">
        <w:rPr>
          <w:lang w:val="fr-FR"/>
        </w:rPr>
        <w:t>Beste</w:t>
      </w:r>
      <w:proofErr w:type="spellEnd"/>
      <w:r w:rsidRPr="006F7E3E">
        <w:rPr>
          <w:lang w:val="fr-FR"/>
        </w:rPr>
        <w:t xml:space="preserve"> </w:t>
      </w:r>
      <w:proofErr w:type="spellStart"/>
      <w:r w:rsidRPr="006F7E3E">
        <w:rPr>
          <w:lang w:val="fr-FR"/>
        </w:rPr>
        <w:t>Orhan</w:t>
      </w:r>
      <w:proofErr w:type="spellEnd"/>
      <w:r w:rsidRPr="006F7E3E">
        <w:rPr>
          <w:lang w:val="fr-FR"/>
        </w:rPr>
        <w:t xml:space="preserve"> </w:t>
      </w:r>
      <w:r w:rsidRPr="006F7E3E">
        <w:rPr>
          <w:vertAlign w:val="superscript"/>
          <w:lang w:val="fr-FR"/>
        </w:rPr>
        <w:t>1,3</w:t>
      </w:r>
      <w:r w:rsidRPr="006F7E3E">
        <w:rPr>
          <w:lang w:val="fr-FR"/>
        </w:rPr>
        <w:t xml:space="preserve">, </w:t>
      </w:r>
      <w:proofErr w:type="spellStart"/>
      <w:r w:rsidRPr="006F7E3E">
        <w:rPr>
          <w:lang w:val="fr-FR"/>
        </w:rPr>
        <w:t>Kayla</w:t>
      </w:r>
      <w:proofErr w:type="spellEnd"/>
      <w:r w:rsidRPr="006F7E3E">
        <w:rPr>
          <w:lang w:val="fr-FR"/>
        </w:rPr>
        <w:t xml:space="preserve"> Delle </w:t>
      </w:r>
      <w:proofErr w:type="spellStart"/>
      <w:r w:rsidRPr="006F7E3E">
        <w:rPr>
          <w:lang w:val="fr-FR"/>
        </w:rPr>
        <w:t>Chiaie</w:t>
      </w:r>
      <w:proofErr w:type="spellEnd"/>
      <w:r w:rsidRPr="006F7E3E">
        <w:rPr>
          <w:lang w:val="fr-FR"/>
        </w:rPr>
        <w:t xml:space="preserve"> </w:t>
      </w:r>
      <w:r w:rsidRPr="006F7E3E">
        <w:rPr>
          <w:vertAlign w:val="superscript"/>
          <w:lang w:val="fr-FR"/>
        </w:rPr>
        <w:t>4</w:t>
      </w:r>
      <w:r w:rsidRPr="006F7E3E">
        <w:rPr>
          <w:lang w:val="fr-FR"/>
        </w:rPr>
        <w:t xml:space="preserve">, Roberto Lazzaroni </w:t>
      </w:r>
      <w:r w:rsidRPr="006F7E3E">
        <w:rPr>
          <w:vertAlign w:val="superscript"/>
          <w:lang w:val="fr-FR"/>
        </w:rPr>
        <w:t>2</w:t>
      </w:r>
      <w:r w:rsidRPr="006F7E3E">
        <w:rPr>
          <w:lang w:val="fr-FR"/>
        </w:rPr>
        <w:t xml:space="preserve">, Daniel Taton </w:t>
      </w:r>
      <w:r w:rsidRPr="006F7E3E">
        <w:rPr>
          <w:vertAlign w:val="superscript"/>
          <w:lang w:val="fr-FR"/>
        </w:rPr>
        <w:t>3</w:t>
      </w:r>
      <w:r w:rsidRPr="006F7E3E">
        <w:rPr>
          <w:lang w:val="fr-FR"/>
        </w:rPr>
        <w:t xml:space="preserve">, Andrew P. Dove </w:t>
      </w:r>
      <w:r w:rsidRPr="006F7E3E">
        <w:rPr>
          <w:vertAlign w:val="superscript"/>
          <w:lang w:val="fr-FR"/>
        </w:rPr>
        <w:t>4</w:t>
      </w:r>
      <w:r w:rsidRPr="006F7E3E">
        <w:rPr>
          <w:lang w:val="fr-FR"/>
        </w:rPr>
        <w:t xml:space="preserve"> and Olivier </w:t>
      </w:r>
      <w:proofErr w:type="spellStart"/>
      <w:r w:rsidRPr="006F7E3E">
        <w:rPr>
          <w:lang w:val="fr-FR"/>
        </w:rPr>
        <w:t>Coulembier</w:t>
      </w:r>
      <w:proofErr w:type="spellEnd"/>
      <w:r w:rsidRPr="006F7E3E">
        <w:rPr>
          <w:lang w:val="fr-FR"/>
        </w:rPr>
        <w:t xml:space="preserve"> </w:t>
      </w:r>
      <w:proofErr w:type="gramStart"/>
      <w:r w:rsidRPr="006F7E3E">
        <w:rPr>
          <w:vertAlign w:val="superscript"/>
          <w:lang w:val="fr-FR"/>
        </w:rPr>
        <w:t>1,</w:t>
      </w:r>
      <w:r w:rsidRPr="006F7E3E">
        <w:rPr>
          <w:lang w:val="fr-FR"/>
        </w:rPr>
        <w:t>*</w:t>
      </w:r>
      <w:proofErr w:type="gramEnd"/>
    </w:p>
    <w:p w14:paraId="4E07AAA8" w14:textId="5E75B76D" w:rsidR="00807E37" w:rsidRPr="006F7E3E" w:rsidRDefault="00807E37" w:rsidP="00E93E70">
      <w:pPr>
        <w:pStyle w:val="MDPI16affiliation"/>
      </w:pPr>
      <w:r w:rsidRPr="006F7E3E">
        <w:rPr>
          <w:vertAlign w:val="superscript"/>
        </w:rPr>
        <w:t>1</w:t>
      </w:r>
      <w:r w:rsidRPr="006F7E3E">
        <w:tab/>
      </w:r>
      <w:r w:rsidR="00930877" w:rsidRPr="006F7E3E">
        <w:t>Center of Innovation and Research in Materials and Polymers (CIRMAP), Laboratory of Polymeric and Composite Materials, University of Mons, Place du Parc 23, 7000 Mons, Belgium</w:t>
      </w:r>
      <w:r w:rsidR="00A10C49" w:rsidRPr="006F7E3E">
        <w:t>;</w:t>
      </w:r>
      <w:r w:rsidR="00930877" w:rsidRPr="006F7E3E">
        <w:t xml:space="preserve"> </w:t>
      </w:r>
      <w:r w:rsidR="00BC212F" w:rsidRPr="006F7E3E">
        <w:t>Sebastien.MOINS@umons.ac.be (S.M.); orhanbeste@gmail.com (B.O.)</w:t>
      </w:r>
    </w:p>
    <w:p w14:paraId="172ACA86" w14:textId="15F7897A" w:rsidR="00807E37" w:rsidRPr="006F7E3E" w:rsidRDefault="00807E37" w:rsidP="00E93E70">
      <w:pPr>
        <w:pStyle w:val="MDPI16affiliation"/>
      </w:pPr>
      <w:r w:rsidRPr="006F7E3E">
        <w:rPr>
          <w:szCs w:val="20"/>
          <w:vertAlign w:val="superscript"/>
        </w:rPr>
        <w:t>2</w:t>
      </w:r>
      <w:r w:rsidRPr="006F7E3E">
        <w:rPr>
          <w:szCs w:val="20"/>
        </w:rPr>
        <w:tab/>
      </w:r>
      <w:r w:rsidR="00930877" w:rsidRPr="006F7E3E">
        <w:t>Center of Innovation and Research in Materials and Polymers (CIRMAP), Laboratory for Chemistry of Novel Materials, University of Mons, Place du Parc 23, 7000 Mons, Belgium</w:t>
      </w:r>
      <w:r w:rsidR="00A10C49" w:rsidRPr="006F7E3E">
        <w:t>;</w:t>
      </w:r>
      <w:r w:rsidR="00BC212F" w:rsidRPr="006F7E3E">
        <w:t xml:space="preserve"> </w:t>
      </w:r>
      <w:r w:rsidR="00BC212F" w:rsidRPr="006F7E3E">
        <w:br/>
        <w:t xml:space="preserve">sebastien.hoyas@umons.ac.be (S.H.); vincent.Lemaur@umons.ac.be (V.L.); </w:t>
      </w:r>
      <w:r w:rsidR="00BC212F" w:rsidRPr="006F7E3E">
        <w:br/>
        <w:t>roberto.lazzaroni@umons.ac.be (R.L.)</w:t>
      </w:r>
    </w:p>
    <w:p w14:paraId="5FA821D6" w14:textId="5E77F3C1" w:rsidR="00930877" w:rsidRPr="006F7E3E" w:rsidRDefault="00930877" w:rsidP="00E93E70">
      <w:pPr>
        <w:pStyle w:val="MDPI16affiliation"/>
        <w:rPr>
          <w:lang w:val="fr-FR"/>
        </w:rPr>
      </w:pPr>
      <w:r w:rsidRPr="006F7E3E">
        <w:rPr>
          <w:vertAlign w:val="superscript"/>
          <w:lang w:val="fr-FR"/>
        </w:rPr>
        <w:t>3</w:t>
      </w:r>
      <w:r w:rsidRPr="006F7E3E">
        <w:rPr>
          <w:lang w:val="fr-FR"/>
        </w:rPr>
        <w:tab/>
        <w:t xml:space="preserve">Laboratoire de Chimie des Polymères Organiques, Université de Bordeaux IPB-ENSCPB, F-33607 Pessac Cedex, </w:t>
      </w:r>
      <w:proofErr w:type="gramStart"/>
      <w:r w:rsidRPr="006F7E3E">
        <w:rPr>
          <w:lang w:val="fr-FR"/>
        </w:rPr>
        <w:t>France</w:t>
      </w:r>
      <w:r w:rsidR="00A10C49" w:rsidRPr="006F7E3E">
        <w:rPr>
          <w:lang w:val="fr-FR"/>
        </w:rPr>
        <w:t>;</w:t>
      </w:r>
      <w:proofErr w:type="gramEnd"/>
      <w:r w:rsidRPr="006F7E3E">
        <w:rPr>
          <w:lang w:val="fr-FR"/>
        </w:rPr>
        <w:t xml:space="preserve"> </w:t>
      </w:r>
      <w:r w:rsidR="00BC212F" w:rsidRPr="006F7E3E">
        <w:rPr>
          <w:lang w:val="fr-FR"/>
        </w:rPr>
        <w:t>taton@enscbp.fr</w:t>
      </w:r>
    </w:p>
    <w:p w14:paraId="5027008F" w14:textId="598C90BC" w:rsidR="00930877" w:rsidRPr="006F7E3E" w:rsidRDefault="00930877" w:rsidP="00E93E70">
      <w:pPr>
        <w:pStyle w:val="MDPI16affiliation"/>
      </w:pPr>
      <w:r w:rsidRPr="006F7E3E">
        <w:rPr>
          <w:szCs w:val="20"/>
          <w:vertAlign w:val="superscript"/>
        </w:rPr>
        <w:t>4</w:t>
      </w:r>
      <w:r w:rsidRPr="006F7E3E">
        <w:rPr>
          <w:szCs w:val="20"/>
        </w:rPr>
        <w:tab/>
      </w:r>
      <w:r w:rsidRPr="006F7E3E">
        <w:t xml:space="preserve">School of Chemistry, University of Birmingham, </w:t>
      </w:r>
      <w:proofErr w:type="spellStart"/>
      <w:r w:rsidRPr="006F7E3E">
        <w:t>Edgbaston</w:t>
      </w:r>
      <w:proofErr w:type="spellEnd"/>
      <w:r w:rsidRPr="006F7E3E">
        <w:t xml:space="preserve">, Birmingham B15 2TT, </w:t>
      </w:r>
      <w:r w:rsidR="00A10C49" w:rsidRPr="006F7E3E">
        <w:t>UK</w:t>
      </w:r>
      <w:r w:rsidR="00BC212F" w:rsidRPr="006F7E3E">
        <w:t>; K.DelleChiaie@bham.ac.uk (K.D.C.); a.dove@bham.ac.uk (A.P.D.)</w:t>
      </w:r>
    </w:p>
    <w:p w14:paraId="034D446C" w14:textId="423B6DDF" w:rsidR="00807E37" w:rsidRPr="006F7E3E" w:rsidRDefault="00E93E70" w:rsidP="00E93E70">
      <w:pPr>
        <w:pStyle w:val="MDPI16affiliation"/>
      </w:pPr>
      <w:r w:rsidRPr="006F7E3E">
        <w:rPr>
          <w:b/>
        </w:rPr>
        <w:t>*</w:t>
      </w:r>
      <w:r w:rsidRPr="006F7E3E">
        <w:tab/>
        <w:t>Correspondence:</w:t>
      </w:r>
      <w:r w:rsidR="00A10C49" w:rsidRPr="006F7E3E">
        <w:t xml:space="preserve"> </w:t>
      </w:r>
      <w:commentRangeStart w:id="2"/>
      <w:r w:rsidR="00930877" w:rsidRPr="006F7E3E">
        <w:t>olivier</w:t>
      </w:r>
      <w:commentRangeEnd w:id="2"/>
      <w:r w:rsidR="00431D4C" w:rsidRPr="006F7E3E">
        <w:rPr>
          <w:rStyle w:val="Marquedecommentaire"/>
          <w:rFonts w:ascii="Times New Roman" w:hAnsi="Times New Roman"/>
          <w:lang w:bidi="ar-SA"/>
        </w:rPr>
        <w:commentReference w:id="2"/>
      </w:r>
      <w:r w:rsidR="00930877" w:rsidRPr="006F7E3E">
        <w:t>.coulembier@umons.ac.be</w:t>
      </w:r>
      <w:r w:rsidR="00807E37" w:rsidRPr="006F7E3E">
        <w:t xml:space="preserve">; </w:t>
      </w:r>
      <w:r w:rsidR="00FF09E8" w:rsidRPr="006F7E3E">
        <w:t>Tel.: +</w:t>
      </w:r>
      <w:r w:rsidR="00930877" w:rsidRPr="006F7E3E">
        <w:t>32</w:t>
      </w:r>
      <w:r w:rsidR="00FF09E8" w:rsidRPr="006F7E3E">
        <w:t>-</w:t>
      </w:r>
      <w:r w:rsidR="00930877" w:rsidRPr="006F7E3E">
        <w:t>(0)65</w:t>
      </w:r>
      <w:r w:rsidR="00FF09E8" w:rsidRPr="006F7E3E">
        <w:t>-</w:t>
      </w:r>
      <w:r w:rsidR="00930877" w:rsidRPr="006F7E3E">
        <w:t>373481</w:t>
      </w:r>
    </w:p>
    <w:p w14:paraId="464687E0" w14:textId="5DAF3ABD" w:rsidR="00807E37" w:rsidRPr="006F7E3E" w:rsidRDefault="00807E37" w:rsidP="00E93E70">
      <w:pPr>
        <w:pStyle w:val="MDPI14history"/>
      </w:pPr>
      <w:r w:rsidRPr="006F7E3E">
        <w:t xml:space="preserve">Received: </w:t>
      </w:r>
      <w:r w:rsidR="00C635AE" w:rsidRPr="006F7E3E">
        <w:t>20 May 2020</w:t>
      </w:r>
      <w:r w:rsidRPr="006F7E3E">
        <w:t xml:space="preserve">; Accepted: </w:t>
      </w:r>
      <w:r w:rsidR="00C635AE" w:rsidRPr="006F7E3E">
        <w:t>30 May 2020</w:t>
      </w:r>
      <w:r w:rsidRPr="006F7E3E">
        <w:t>; Published: date</w:t>
      </w:r>
    </w:p>
    <w:p w14:paraId="1AD76F67" w14:textId="0BCD4D67" w:rsidR="00807E37" w:rsidRPr="006F7E3E" w:rsidRDefault="00807E37" w:rsidP="00E93E70">
      <w:pPr>
        <w:pStyle w:val="MDPI17abstract"/>
        <w:rPr>
          <w:color w:val="auto"/>
        </w:rPr>
      </w:pPr>
      <w:r w:rsidRPr="006F7E3E">
        <w:rPr>
          <w:b/>
        </w:rPr>
        <w:t xml:space="preserve">Abstract: </w:t>
      </w:r>
      <w:r w:rsidR="00404FA3" w:rsidRPr="006F7E3E">
        <w:rPr>
          <w:rStyle w:val="st1"/>
          <w:rFonts w:cs="Arial"/>
          <w:color w:val="auto"/>
          <w:szCs w:val="20"/>
        </w:rPr>
        <w:t>1,5,7-Triazabicyclo[4.4.0]dec-5-ene</w:t>
      </w:r>
      <w:r w:rsidR="00404FA3" w:rsidRPr="006F7E3E">
        <w:rPr>
          <w:rStyle w:val="st1"/>
          <w:rFonts w:ascii="Arial" w:hAnsi="Arial" w:cs="Arial"/>
          <w:color w:val="auto"/>
          <w:sz w:val="21"/>
          <w:szCs w:val="21"/>
        </w:rPr>
        <w:t xml:space="preserve"> </w:t>
      </w:r>
      <w:r w:rsidR="00404FA3" w:rsidRPr="006F7E3E">
        <w:t xml:space="preserve">(TBD) polymerizes </w:t>
      </w:r>
      <w:proofErr w:type="spellStart"/>
      <w:r w:rsidR="00404FA3" w:rsidRPr="006F7E3E">
        <w:rPr>
          <w:i/>
          <w:iCs/>
        </w:rPr>
        <w:t>rac</w:t>
      </w:r>
      <w:proofErr w:type="spellEnd"/>
      <w:r w:rsidR="00404FA3" w:rsidRPr="006F7E3E">
        <w:t>-lactide (</w:t>
      </w:r>
      <w:commentRangeStart w:id="3"/>
      <w:proofErr w:type="spellStart"/>
      <w:r w:rsidR="00404FA3" w:rsidRPr="006F7E3E">
        <w:rPr>
          <w:i/>
          <w:iCs/>
        </w:rPr>
        <w:t>rac</w:t>
      </w:r>
      <w:commentRangeEnd w:id="3"/>
      <w:proofErr w:type="spellEnd"/>
      <w:r w:rsidR="00AF6500" w:rsidRPr="006F7E3E">
        <w:rPr>
          <w:rStyle w:val="Marquedecommentaire"/>
          <w:rFonts w:ascii="Times New Roman" w:hAnsi="Times New Roman"/>
          <w:lang w:bidi="ar-SA"/>
        </w:rPr>
        <w:commentReference w:id="3"/>
      </w:r>
      <w:r w:rsidR="00404FA3" w:rsidRPr="006F7E3E">
        <w:t>-LA) to form highly isotactic polylactide (PLA)</w:t>
      </w:r>
      <w:r w:rsidR="00FF352A" w:rsidRPr="006F7E3E">
        <w:t xml:space="preserve"> with a </w:t>
      </w:r>
      <w:commentRangeStart w:id="4"/>
      <w:r w:rsidR="00FF352A" w:rsidRPr="006F7E3E">
        <w:rPr>
          <w:i/>
        </w:rPr>
        <w:t>P</w:t>
      </w:r>
      <w:r w:rsidR="00FF352A" w:rsidRPr="006F7E3E">
        <w:rPr>
          <w:i/>
          <w:vertAlign w:val="subscript"/>
        </w:rPr>
        <w:t>m</w:t>
      </w:r>
      <w:r w:rsidR="00FF352A" w:rsidRPr="006F7E3E">
        <w:t xml:space="preserve"> </w:t>
      </w:r>
      <w:commentRangeEnd w:id="4"/>
      <w:r w:rsidR="00E83036" w:rsidRPr="006F7E3E">
        <w:rPr>
          <w:rStyle w:val="Marquedecommentaire"/>
          <w:rFonts w:ascii="Times New Roman" w:hAnsi="Times New Roman"/>
          <w:lang w:bidi="ar-SA"/>
        </w:rPr>
        <w:commentReference w:id="4"/>
      </w:r>
      <w:r w:rsidR="00E80330" w:rsidRPr="006F7E3E">
        <w:t>=</w:t>
      </w:r>
      <w:r w:rsidR="00FF352A" w:rsidRPr="006F7E3E">
        <w:t xml:space="preserve"> 0.</w:t>
      </w:r>
      <w:r w:rsidR="00E80330" w:rsidRPr="006F7E3E">
        <w:t>88</w:t>
      </w:r>
      <w:r w:rsidR="00404FA3" w:rsidRPr="006F7E3E">
        <w:t xml:space="preserve">, while </w:t>
      </w:r>
      <w:r w:rsidR="00404FA3" w:rsidRPr="006F7E3E">
        <w:rPr>
          <w:i/>
          <w:iCs/>
        </w:rPr>
        <w:t>meso</w:t>
      </w:r>
      <w:r w:rsidR="00404FA3" w:rsidRPr="006F7E3E">
        <w:t xml:space="preserve">-LA yields heterotactic PLA </w:t>
      </w:r>
      <w:r w:rsidR="00FF352A" w:rsidRPr="006F7E3E">
        <w:t>(</w:t>
      </w:r>
      <w:r w:rsidR="00FF352A" w:rsidRPr="006F7E3E">
        <w:rPr>
          <w:i/>
        </w:rPr>
        <w:t>P</w:t>
      </w:r>
      <w:r w:rsidR="00FF352A" w:rsidRPr="006F7E3E">
        <w:rPr>
          <w:i/>
          <w:vertAlign w:val="subscript"/>
        </w:rPr>
        <w:t>m</w:t>
      </w:r>
      <w:r w:rsidR="00FF352A" w:rsidRPr="006F7E3E">
        <w:t xml:space="preserve"> ~ 0.8) </w:t>
      </w:r>
      <w:r w:rsidR="00404FA3" w:rsidRPr="006F7E3E">
        <w:t xml:space="preserve">at </w:t>
      </w:r>
      <w:r w:rsidR="00DA0F93" w:rsidRPr="006F7E3E">
        <w:t>−</w:t>
      </w:r>
      <w:r w:rsidR="00404FA3" w:rsidRPr="006F7E3E">
        <w:t xml:space="preserve">75 °C. The </w:t>
      </w:r>
      <w:proofErr w:type="spellStart"/>
      <w:r w:rsidR="00404FA3" w:rsidRPr="006F7E3E">
        <w:t>stereocontrol</w:t>
      </w:r>
      <w:proofErr w:type="spellEnd"/>
      <w:r w:rsidR="00404FA3" w:rsidRPr="006F7E3E">
        <w:t xml:space="preserve"> of the cryogenic-based ring-opening polymerization comes from a perfect imbrication of both chiral LA and the propagating chiral end-group interacting with the achiral TBD catalyst.</w:t>
      </w:r>
    </w:p>
    <w:p w14:paraId="55D9706C" w14:textId="3D1C0D0E" w:rsidR="00807E37" w:rsidRPr="006F7E3E" w:rsidRDefault="00E93E70" w:rsidP="00E93E70">
      <w:pPr>
        <w:pStyle w:val="MDPI18keywords"/>
      </w:pPr>
      <w:r w:rsidRPr="006F7E3E">
        <w:rPr>
          <w:b/>
        </w:rPr>
        <w:t>Keywords:</w:t>
      </w:r>
      <w:r w:rsidR="00807E37" w:rsidRPr="006F7E3E">
        <w:rPr>
          <w:b/>
        </w:rPr>
        <w:t xml:space="preserve"> </w:t>
      </w:r>
      <w:proofErr w:type="spellStart"/>
      <w:r w:rsidR="00DA0F93" w:rsidRPr="006F7E3E">
        <w:t>organocatalyst</w:t>
      </w:r>
      <w:proofErr w:type="spellEnd"/>
      <w:r w:rsidR="00404FA3" w:rsidRPr="006F7E3E">
        <w:t xml:space="preserve">; </w:t>
      </w:r>
      <w:proofErr w:type="spellStart"/>
      <w:r w:rsidR="00404FA3" w:rsidRPr="006F7E3E">
        <w:t>stereocontrol</w:t>
      </w:r>
      <w:proofErr w:type="spellEnd"/>
      <w:r w:rsidR="00404FA3" w:rsidRPr="006F7E3E">
        <w:t>; lactide; ring-opening polymerization; TBD</w:t>
      </w:r>
    </w:p>
    <w:p w14:paraId="11BACD4F" w14:textId="77777777" w:rsidR="00807E37" w:rsidRPr="006F7E3E" w:rsidRDefault="00807E37" w:rsidP="00E93E70">
      <w:pPr>
        <w:pStyle w:val="MDPI19line"/>
        <w:pBdr>
          <w:bottom w:val="single" w:sz="4" w:space="1" w:color="000000"/>
        </w:pBdr>
        <w:adjustRightInd w:val="0"/>
        <w:snapToGrid w:val="0"/>
        <w:spacing w:after="480"/>
      </w:pPr>
    </w:p>
    <w:p w14:paraId="4662FCA8" w14:textId="3D3A0167" w:rsidR="00807E37" w:rsidRPr="006F7E3E" w:rsidRDefault="00E93E70" w:rsidP="00E93E70">
      <w:pPr>
        <w:pStyle w:val="MDPI21heading1"/>
      </w:pPr>
      <w:r w:rsidRPr="006F7E3E">
        <w:rPr>
          <w:lang w:eastAsia="zh-CN"/>
        </w:rPr>
        <w:t xml:space="preserve">1. </w:t>
      </w:r>
      <w:r w:rsidR="00807E37" w:rsidRPr="006F7E3E">
        <w:t>Introduction</w:t>
      </w:r>
    </w:p>
    <w:p w14:paraId="5E839245" w14:textId="13FE839A" w:rsidR="00CE4305" w:rsidRPr="006F7E3E" w:rsidRDefault="00CE4305" w:rsidP="00E93E70">
      <w:pPr>
        <w:pStyle w:val="MDPI31text"/>
      </w:pPr>
      <w:bookmarkStart w:id="5" w:name="OLE_LINK1"/>
      <w:bookmarkStart w:id="6" w:name="OLE_LINK2"/>
      <w:r w:rsidRPr="006F7E3E">
        <w:t>Polylactide (PLA) is a versatile bioplastic that can be derived from annually-renewable resources. While PLA can be synthesized via polycondensation of lactic acid, the ring-opening polymerization (ROP) of lactide (LA) is by far preferred</w:t>
      </w:r>
      <w:r w:rsidR="00033F30" w:rsidRPr="006F7E3E">
        <w:t>,</w:t>
      </w:r>
      <w:r w:rsidRPr="006F7E3E">
        <w:t xml:space="preserve"> on account of the more facile access to higher molecular weight polymers with control over the molecular parameters and end groups [1]. LA possesses two stereocenters</w:t>
      </w:r>
      <w:r w:rsidR="00450E85" w:rsidRPr="006F7E3E">
        <w:t>,</w:t>
      </w:r>
      <w:r w:rsidRPr="006F7E3E">
        <w:t xml:space="preserve"> conferring it three distinct isomers: </w:t>
      </w:r>
      <w:proofErr w:type="gramStart"/>
      <w:r w:rsidRPr="006F7E3E">
        <w:rPr>
          <w:i/>
        </w:rPr>
        <w:t>R,R</w:t>
      </w:r>
      <w:proofErr w:type="gramEnd"/>
      <w:r w:rsidRPr="006F7E3E">
        <w:t>-LA (</w:t>
      </w:r>
      <w:r w:rsidRPr="006F7E3E">
        <w:rPr>
          <w:i/>
        </w:rPr>
        <w:t>D</w:t>
      </w:r>
      <w:r w:rsidRPr="006F7E3E">
        <w:t xml:space="preserve">-LA), </w:t>
      </w:r>
      <w:r w:rsidRPr="006F7E3E">
        <w:rPr>
          <w:i/>
        </w:rPr>
        <w:t>S,S</w:t>
      </w:r>
      <w:r w:rsidRPr="006F7E3E">
        <w:t>-LA (</w:t>
      </w:r>
      <w:r w:rsidRPr="006F7E3E">
        <w:rPr>
          <w:i/>
        </w:rPr>
        <w:t>L</w:t>
      </w:r>
      <w:r w:rsidRPr="006F7E3E">
        <w:t xml:space="preserve">-LA) and </w:t>
      </w:r>
      <w:r w:rsidRPr="006F7E3E">
        <w:rPr>
          <w:i/>
        </w:rPr>
        <w:t>R,S</w:t>
      </w:r>
      <w:r w:rsidRPr="006F7E3E">
        <w:t>-LA (</w:t>
      </w:r>
      <w:r w:rsidRPr="006F7E3E">
        <w:rPr>
          <w:i/>
        </w:rPr>
        <w:t>meso</w:t>
      </w:r>
      <w:r w:rsidRPr="006F7E3E">
        <w:t xml:space="preserve">-LA). In addition to the three diastereomers, a commercially available racemate of </w:t>
      </w:r>
      <w:r w:rsidRPr="006F7E3E">
        <w:rPr>
          <w:i/>
        </w:rPr>
        <w:t>D</w:t>
      </w:r>
      <w:r w:rsidRPr="006F7E3E">
        <w:t xml:space="preserve">- and </w:t>
      </w:r>
      <w:r w:rsidRPr="006F7E3E">
        <w:rPr>
          <w:i/>
        </w:rPr>
        <w:t>L</w:t>
      </w:r>
      <w:r w:rsidRPr="006F7E3E">
        <w:t xml:space="preserve">-LA also exists as </w:t>
      </w:r>
      <w:proofErr w:type="spellStart"/>
      <w:r w:rsidRPr="006F7E3E">
        <w:rPr>
          <w:i/>
        </w:rPr>
        <w:t>rac</w:t>
      </w:r>
      <w:proofErr w:type="spellEnd"/>
      <w:r w:rsidRPr="006F7E3E">
        <w:t xml:space="preserve">-LA. Because the chemical and physical properties of PLA are drastically affected by its </w:t>
      </w:r>
      <w:proofErr w:type="spellStart"/>
      <w:r w:rsidRPr="006F7E3E">
        <w:t>tacticity</w:t>
      </w:r>
      <w:proofErr w:type="spellEnd"/>
      <w:r w:rsidRPr="006F7E3E">
        <w:t xml:space="preserve"> [2], the nature of the enantiopure monomer involved in the ROP process</w:t>
      </w:r>
      <w:r w:rsidR="00450E85" w:rsidRPr="006F7E3E">
        <w:t>,</w:t>
      </w:r>
      <w:r w:rsidRPr="006F7E3E">
        <w:t xml:space="preserve"> or the application of </w:t>
      </w:r>
      <w:proofErr w:type="spellStart"/>
      <w:r w:rsidRPr="006F7E3E">
        <w:t>stereocontrolled</w:t>
      </w:r>
      <w:proofErr w:type="spellEnd"/>
      <w:r w:rsidRPr="006F7E3E">
        <w:t xml:space="preserve"> polymerizations in which stereoregular polymers result from diastereomeric mixtures of LA, are of high importance.</w:t>
      </w:r>
    </w:p>
    <w:p w14:paraId="788F47B7" w14:textId="434ED257" w:rsidR="00CE4305" w:rsidRPr="006F7E3E" w:rsidRDefault="00CE4305" w:rsidP="00E93E70">
      <w:pPr>
        <w:pStyle w:val="MDPI31text"/>
      </w:pPr>
      <w:r w:rsidRPr="006F7E3E">
        <w:t xml:space="preserve">During the past decades, there has been significant emphasis placed on the preparation of catalysts that are able to produce isotactic PLA directly from </w:t>
      </w:r>
      <w:proofErr w:type="spellStart"/>
      <w:r w:rsidRPr="006F7E3E">
        <w:rPr>
          <w:i/>
        </w:rPr>
        <w:t>rac</w:t>
      </w:r>
      <w:proofErr w:type="spellEnd"/>
      <w:r w:rsidRPr="006F7E3E">
        <w:t xml:space="preserve">-LA </w:t>
      </w:r>
      <w:r w:rsidR="00DA0F93" w:rsidRPr="006F7E3E">
        <w:t>[3–7</w:t>
      </w:r>
      <w:r w:rsidRPr="006F7E3E">
        <w:t xml:space="preserve">]. The </w:t>
      </w:r>
      <w:proofErr w:type="spellStart"/>
      <w:r w:rsidRPr="006F7E3E">
        <w:t>isoselective</w:t>
      </w:r>
      <w:proofErr w:type="spellEnd"/>
      <w:r w:rsidRPr="006F7E3E">
        <w:t xml:space="preserve"> ROP of </w:t>
      </w:r>
      <w:proofErr w:type="spellStart"/>
      <w:r w:rsidRPr="006F7E3E">
        <w:rPr>
          <w:i/>
        </w:rPr>
        <w:t>rac</w:t>
      </w:r>
      <w:proofErr w:type="spellEnd"/>
      <w:r w:rsidRPr="006F7E3E">
        <w:t>-LA is by far dominated by metal</w:t>
      </w:r>
      <w:r w:rsidR="00873B97" w:rsidRPr="006F7E3E">
        <w:t xml:space="preserve"> </w:t>
      </w:r>
      <w:r w:rsidRPr="006F7E3E">
        <w:t xml:space="preserve">salts and coordination complexes that operate by a coordination-insertion mechanism. Generally, the significant difference in the rates of insertion of both </w:t>
      </w:r>
      <w:r w:rsidRPr="006F7E3E">
        <w:rPr>
          <w:i/>
        </w:rPr>
        <w:t>D</w:t>
      </w:r>
      <w:r w:rsidRPr="006F7E3E">
        <w:t xml:space="preserve">- and </w:t>
      </w:r>
      <w:r w:rsidRPr="006F7E3E">
        <w:rPr>
          <w:i/>
        </w:rPr>
        <w:t>L</w:t>
      </w:r>
      <w:r w:rsidRPr="006F7E3E">
        <w:t xml:space="preserve">-LA is created by the association of the ligand system and the growing polymer chain end. While excellent </w:t>
      </w:r>
      <w:proofErr w:type="spellStart"/>
      <w:r w:rsidRPr="006F7E3E">
        <w:t>stereocontrol</w:t>
      </w:r>
      <w:proofErr w:type="spellEnd"/>
      <w:r w:rsidRPr="006F7E3E">
        <w:t xml:space="preserve"> is achieved by those systems, they are commonly complex and costly to prepare</w:t>
      </w:r>
      <w:r w:rsidR="00873B97" w:rsidRPr="006F7E3E">
        <w:t>,</w:t>
      </w:r>
      <w:r w:rsidRPr="006F7E3E">
        <w:t xml:space="preserve"> which in part motivated the development of simple, metal-free</w:t>
      </w:r>
      <w:r w:rsidR="00873B97" w:rsidRPr="006F7E3E">
        <w:t>,</w:t>
      </w:r>
      <w:r w:rsidRPr="006F7E3E">
        <w:t xml:space="preserve"> organo-catalytic systems [8].</w:t>
      </w:r>
    </w:p>
    <w:p w14:paraId="2BBF31D7" w14:textId="41E838D5" w:rsidR="00CE4305" w:rsidRPr="006F7E3E" w:rsidRDefault="00CE4305" w:rsidP="00E93E70">
      <w:pPr>
        <w:pStyle w:val="MDPI31text"/>
      </w:pPr>
      <w:r w:rsidRPr="006F7E3E">
        <w:lastRenderedPageBreak/>
        <w:t>To date, only a handful of studies of the stereo</w:t>
      </w:r>
      <w:r w:rsidR="00A8653D" w:rsidRPr="006F7E3E">
        <w:t>-</w:t>
      </w:r>
      <w:r w:rsidRPr="006F7E3E">
        <w:t xml:space="preserve">controlled ROPs of </w:t>
      </w:r>
      <w:proofErr w:type="spellStart"/>
      <w:r w:rsidRPr="006F7E3E">
        <w:rPr>
          <w:i/>
        </w:rPr>
        <w:t>rac</w:t>
      </w:r>
      <w:proofErr w:type="spellEnd"/>
      <w:r w:rsidRPr="006F7E3E">
        <w:t>-LA</w:t>
      </w:r>
      <w:r w:rsidR="00A8653D" w:rsidRPr="006F7E3E">
        <w:t>,</w:t>
      </w:r>
      <w:r w:rsidRPr="006F7E3E">
        <w:t xml:space="preserve"> using either chiral or achiral organo-based catalysts have been reported </w:t>
      </w:r>
      <w:r w:rsidR="00DA0F93" w:rsidRPr="006F7E3E">
        <w:t>[9–19</w:t>
      </w:r>
      <w:r w:rsidRPr="006F7E3E">
        <w:t>]. Chiral organo-based catalysts, including binaphthol-type phosphoric acids (</w:t>
      </w:r>
      <w:r w:rsidRPr="006F7E3E">
        <w:rPr>
          <w:b/>
        </w:rPr>
        <w:t>1</w:t>
      </w:r>
      <w:r w:rsidRPr="006F7E3E">
        <w:t xml:space="preserve">), </w:t>
      </w:r>
      <w:r w:rsidR="003F6CE1" w:rsidRPr="006F7E3E">
        <w:t>β</w:t>
      </w:r>
      <w:r w:rsidRPr="006F7E3E">
        <w:t>-</w:t>
      </w:r>
      <w:proofErr w:type="spellStart"/>
      <w:r w:rsidRPr="006F7E3E">
        <w:t>isocupreidine</w:t>
      </w:r>
      <w:proofErr w:type="spellEnd"/>
      <w:r w:rsidRPr="006F7E3E">
        <w:t xml:space="preserve">/thiourea/chiral </w:t>
      </w:r>
      <w:proofErr w:type="spellStart"/>
      <w:r w:rsidRPr="006F7E3E">
        <w:t>binaphthylamines</w:t>
      </w:r>
      <w:proofErr w:type="spellEnd"/>
      <w:r w:rsidRPr="006F7E3E">
        <w:t xml:space="preserve"> (</w:t>
      </w:r>
      <w:r w:rsidRPr="006F7E3E">
        <w:rPr>
          <w:b/>
        </w:rPr>
        <w:t>2</w:t>
      </w:r>
      <w:r w:rsidRPr="006F7E3E">
        <w:t>), Takemoto’s catalyst (</w:t>
      </w:r>
      <w:r w:rsidRPr="006F7E3E">
        <w:rPr>
          <w:b/>
        </w:rPr>
        <w:t>3</w:t>
      </w:r>
      <w:r w:rsidRPr="006F7E3E">
        <w:t>), densely substituted proline-type amino acids (</w:t>
      </w:r>
      <w:r w:rsidRPr="006F7E3E">
        <w:rPr>
          <w:b/>
        </w:rPr>
        <w:t>4</w:t>
      </w:r>
      <w:r w:rsidRPr="006F7E3E">
        <w:t>) and rotaxanes</w:t>
      </w:r>
      <w:r w:rsidR="00A8653D" w:rsidRPr="006F7E3E">
        <w:t>,</w:t>
      </w:r>
      <w:r w:rsidRPr="006F7E3E">
        <w:t xml:space="preserve"> are known to produce isotactic PLA, presenting a probability of isotactic dyad (</w:t>
      </w:r>
      <w:r w:rsidRPr="006F7E3E">
        <w:rPr>
          <w:i/>
        </w:rPr>
        <w:t>P</w:t>
      </w:r>
      <w:r w:rsidRPr="006F7E3E">
        <w:rPr>
          <w:i/>
          <w:vertAlign w:val="subscript"/>
        </w:rPr>
        <w:t>m</w:t>
      </w:r>
      <w:r w:rsidR="00E83036" w:rsidRPr="006F7E3E">
        <w:t>) of 0.82–</w:t>
      </w:r>
      <w:r w:rsidRPr="006F7E3E">
        <w:t xml:space="preserve">0.96, for ROP reactions performed at 25 to 85 °C (Figure 1) </w:t>
      </w:r>
      <w:r w:rsidR="00DA0F93" w:rsidRPr="006F7E3E">
        <w:t>[13–19</w:t>
      </w:r>
      <w:r w:rsidRPr="006F7E3E">
        <w:t>].</w:t>
      </w:r>
    </w:p>
    <w:p w14:paraId="60E7D068" w14:textId="77777777" w:rsidR="008C7978" w:rsidRPr="006F7E3E" w:rsidRDefault="00245E74" w:rsidP="00E93E70">
      <w:pPr>
        <w:pStyle w:val="MDPI52figure"/>
      </w:pPr>
      <w:r w:rsidRPr="006F7E3E">
        <w:rPr>
          <w:noProof/>
          <w:lang w:eastAsia="zh-CN" w:bidi="ar-SA"/>
        </w:rPr>
        <w:drawing>
          <wp:inline distT="0" distB="0" distL="0" distR="0" wp14:anchorId="0E40D1AD" wp14:editId="67B89437">
            <wp:extent cx="5577391" cy="4181475"/>
            <wp:effectExtent l="0" t="0" r="4445"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88218" cy="4189592"/>
                    </a:xfrm>
                    <a:prstGeom prst="rect">
                      <a:avLst/>
                    </a:prstGeom>
                    <a:noFill/>
                  </pic:spPr>
                </pic:pic>
              </a:graphicData>
            </a:graphic>
          </wp:inline>
        </w:drawing>
      </w:r>
    </w:p>
    <w:p w14:paraId="383314AD" w14:textId="62D02904" w:rsidR="008C7978" w:rsidRPr="006F7E3E" w:rsidRDefault="00AF6500" w:rsidP="00AF6500">
      <w:pPr>
        <w:pStyle w:val="MDPI51figurecaption"/>
      </w:pPr>
      <w:r w:rsidRPr="006F7E3E">
        <w:rPr>
          <w:b/>
        </w:rPr>
        <w:t>Figure 1.</w:t>
      </w:r>
      <w:r w:rsidR="00E93E70" w:rsidRPr="006F7E3E">
        <w:rPr>
          <w:b/>
        </w:rPr>
        <w:t xml:space="preserve"> </w:t>
      </w:r>
      <w:r w:rsidR="008C7978" w:rsidRPr="006F7E3E">
        <w:t>Structures of chiral and achiral catalysts employed for the stereoselective</w:t>
      </w:r>
      <w:r w:rsidR="00A8653D" w:rsidRPr="006F7E3E">
        <w:t xml:space="preserve"> ring-opening polymerization</w:t>
      </w:r>
      <w:r w:rsidR="008C7978" w:rsidRPr="006F7E3E">
        <w:t xml:space="preserve"> </w:t>
      </w:r>
      <w:r w:rsidR="00A8653D" w:rsidRPr="006F7E3E">
        <w:t>(</w:t>
      </w:r>
      <w:r w:rsidR="008C7978" w:rsidRPr="006F7E3E">
        <w:t>ROP</w:t>
      </w:r>
      <w:r w:rsidR="00A8653D" w:rsidRPr="006F7E3E">
        <w:t>)</w:t>
      </w:r>
      <w:r w:rsidR="008C7978" w:rsidRPr="006F7E3E">
        <w:t xml:space="preserve"> of </w:t>
      </w:r>
      <w:proofErr w:type="spellStart"/>
      <w:r w:rsidR="008C7978" w:rsidRPr="006F7E3E">
        <w:rPr>
          <w:i/>
        </w:rPr>
        <w:t>rac</w:t>
      </w:r>
      <w:proofErr w:type="spellEnd"/>
      <w:r w:rsidR="008C7978" w:rsidRPr="006F7E3E">
        <w:t>-LA.</w:t>
      </w:r>
    </w:p>
    <w:p w14:paraId="1AAD0418" w14:textId="457CCDA6" w:rsidR="00733607" w:rsidRPr="006F7E3E" w:rsidRDefault="00733607" w:rsidP="00E93E70">
      <w:pPr>
        <w:pStyle w:val="MDPI31text"/>
      </w:pPr>
      <w:r w:rsidRPr="006F7E3E">
        <w:t xml:space="preserve">Comparatively, achiral catalysts, including </w:t>
      </w:r>
      <w:r w:rsidRPr="006F7E3E">
        <w:rPr>
          <w:i/>
        </w:rPr>
        <w:t>N</w:t>
      </w:r>
      <w:r w:rsidRPr="006F7E3E">
        <w:t>-heterocyclic carbenes (</w:t>
      </w:r>
      <w:r w:rsidRPr="006F7E3E">
        <w:rPr>
          <w:b/>
        </w:rPr>
        <w:t>5</w:t>
      </w:r>
      <w:r w:rsidRPr="006F7E3E">
        <w:t xml:space="preserve">) [9,10] and </w:t>
      </w:r>
      <w:proofErr w:type="spellStart"/>
      <w:r w:rsidRPr="006F7E3E">
        <w:t>phosphazenes</w:t>
      </w:r>
      <w:proofErr w:type="spellEnd"/>
      <w:r w:rsidRPr="006F7E3E">
        <w:t xml:space="preserve"> (</w:t>
      </w:r>
      <w:r w:rsidRPr="006F7E3E">
        <w:rPr>
          <w:b/>
        </w:rPr>
        <w:t>6</w:t>
      </w:r>
      <w:r w:rsidRPr="006F7E3E">
        <w:t xml:space="preserve"> and </w:t>
      </w:r>
      <w:r w:rsidRPr="006F7E3E">
        <w:rPr>
          <w:b/>
        </w:rPr>
        <w:t>7</w:t>
      </w:r>
      <w:r w:rsidRPr="006F7E3E">
        <w:t>) [12,17]</w:t>
      </w:r>
      <w:r w:rsidR="00117E56" w:rsidRPr="006F7E3E">
        <w:t>,</w:t>
      </w:r>
      <w:r w:rsidRPr="006F7E3E">
        <w:t xml:space="preserve"> necessitate cryogenic conditions to increase the stereoselectivity for ROP of </w:t>
      </w:r>
      <w:proofErr w:type="spellStart"/>
      <w:r w:rsidRPr="006F7E3E">
        <w:rPr>
          <w:i/>
        </w:rPr>
        <w:t>rac</w:t>
      </w:r>
      <w:proofErr w:type="spellEnd"/>
      <w:r w:rsidRPr="006F7E3E">
        <w:t>-LA. In these systems, ROP at low temperatures (</w:t>
      </w:r>
      <w:r w:rsidR="00E83036" w:rsidRPr="006F7E3E">
        <w:t>−</w:t>
      </w:r>
      <w:r w:rsidRPr="006F7E3E">
        <w:t xml:space="preserve">75 °C) resulted in a marked increase in </w:t>
      </w:r>
      <w:proofErr w:type="spellStart"/>
      <w:r w:rsidRPr="006F7E3E">
        <w:t>isotacticity</w:t>
      </w:r>
      <w:proofErr w:type="spellEnd"/>
      <w:r w:rsidR="00117E56" w:rsidRPr="006F7E3E">
        <w:t>,</w:t>
      </w:r>
      <w:r w:rsidRPr="006F7E3E">
        <w:t xml:space="preserve"> with </w:t>
      </w:r>
      <w:r w:rsidRPr="006F7E3E">
        <w:rPr>
          <w:i/>
        </w:rPr>
        <w:t>P</w:t>
      </w:r>
      <w:r w:rsidRPr="006F7E3E">
        <w:rPr>
          <w:i/>
          <w:vertAlign w:val="subscript"/>
        </w:rPr>
        <w:t>m</w:t>
      </w:r>
      <w:r w:rsidRPr="006F7E3E">
        <w:t xml:space="preserve"> values between 0.83 and 0.95 (Figure 1). In all of these cases, the authors postulated that such stereo</w:t>
      </w:r>
      <w:r w:rsidR="00117E56" w:rsidRPr="006F7E3E">
        <w:t>-</w:t>
      </w:r>
      <w:r w:rsidRPr="006F7E3E">
        <w:t>control is the result of a steric encumberment at the propagating chain end that resulted in stereo</w:t>
      </w:r>
      <w:r w:rsidR="00117E56" w:rsidRPr="006F7E3E">
        <w:t>-</w:t>
      </w:r>
      <w:r w:rsidRPr="006F7E3E">
        <w:t>control by a chain-end control (CEC) mechanism</w:t>
      </w:r>
      <w:r w:rsidR="00117E56" w:rsidRPr="006F7E3E">
        <w:t>—</w:t>
      </w:r>
      <w:r w:rsidRPr="006F7E3E">
        <w:t>although no mechanistic investigations were performed to confirm that hypothesis. While several of these species are indeed very sterically-demanding achiral bases, the high level of stereo</w:t>
      </w:r>
      <w:r w:rsidR="007D77CE" w:rsidRPr="006F7E3E">
        <w:t>-</w:t>
      </w:r>
      <w:r w:rsidRPr="006F7E3E">
        <w:t>control at cryogenic temperatures observed with 1-</w:t>
      </w:r>
      <w:r w:rsidRPr="006F7E3E">
        <w:rPr>
          <w:i/>
        </w:rPr>
        <w:t>tert</w:t>
      </w:r>
      <w:r w:rsidRPr="006F7E3E">
        <w:t>-butyl-2,2,4,4,4-pentakis(dimethylamino)-2</w:t>
      </w:r>
      <w:r w:rsidRPr="006F7E3E">
        <w:rPr>
          <w:rFonts w:ascii="Symbol" w:hAnsi="Symbol"/>
        </w:rPr>
        <w:t></w:t>
      </w:r>
      <w:r w:rsidRPr="006F7E3E">
        <w:rPr>
          <w:vertAlign w:val="superscript"/>
        </w:rPr>
        <w:t>5</w:t>
      </w:r>
      <w:r w:rsidRPr="006F7E3E">
        <w:t>,4</w:t>
      </w:r>
      <w:r w:rsidRPr="006F7E3E">
        <w:rPr>
          <w:rFonts w:ascii="Symbol" w:hAnsi="Symbol"/>
        </w:rPr>
        <w:t></w:t>
      </w:r>
      <w:r w:rsidRPr="006F7E3E">
        <w:rPr>
          <w:vertAlign w:val="superscript"/>
        </w:rPr>
        <w:t>5</w:t>
      </w:r>
      <w:r w:rsidRPr="006F7E3E">
        <w:t xml:space="preserve">-catenadi(phosphazene), </w:t>
      </w:r>
      <w:r w:rsidRPr="006F7E3E">
        <w:rPr>
          <w:b/>
        </w:rPr>
        <w:t>6</w:t>
      </w:r>
      <w:r w:rsidRPr="006F7E3E">
        <w:t xml:space="preserve">, led us to question if this was the primary reason for such high levels of </w:t>
      </w:r>
      <w:proofErr w:type="spellStart"/>
      <w:r w:rsidRPr="006F7E3E">
        <w:t>stereocontrol</w:t>
      </w:r>
      <w:proofErr w:type="spellEnd"/>
      <w:r w:rsidR="007D77CE" w:rsidRPr="006F7E3E">
        <w:t>,</w:t>
      </w:r>
      <w:r w:rsidRPr="006F7E3E">
        <w:t xml:space="preserve"> and led us to question more fundamentally the reasons for such selectivity. Intriguingly, most of the stereoselective ROPs performed on </w:t>
      </w:r>
      <w:proofErr w:type="spellStart"/>
      <w:r w:rsidRPr="006F7E3E">
        <w:rPr>
          <w:i/>
        </w:rPr>
        <w:t>rac</w:t>
      </w:r>
      <w:proofErr w:type="spellEnd"/>
      <w:r w:rsidRPr="006F7E3E">
        <w:t>-LA from achiral catalysts were realized in toluene, in which LA is poorly soluble (</w:t>
      </w:r>
      <w:r w:rsidR="008B600E" w:rsidRPr="006F7E3E">
        <w:t>s</w:t>
      </w:r>
      <w:r w:rsidR="00E83036" w:rsidRPr="006F7E3E">
        <w:t xml:space="preserve">ee Supporting Information, Figures </w:t>
      </w:r>
      <w:r w:rsidRPr="006F7E3E">
        <w:t>S1</w:t>
      </w:r>
      <w:r w:rsidR="00E83036" w:rsidRPr="006F7E3E">
        <w:t>–</w:t>
      </w:r>
      <w:r w:rsidRPr="006F7E3E">
        <w:t xml:space="preserve">S3). Extending these concepts, we postulated that other non-sterically encumbered and achiral bases could also mediate the stereoselective ROP of </w:t>
      </w:r>
      <w:proofErr w:type="spellStart"/>
      <w:r w:rsidRPr="006F7E3E">
        <w:rPr>
          <w:i/>
        </w:rPr>
        <w:t>rac</w:t>
      </w:r>
      <w:proofErr w:type="spellEnd"/>
      <w:r w:rsidRPr="006F7E3E">
        <w:t xml:space="preserve">-LA at cryogenic temperatures in toluene. To test this hypothesis, we selected </w:t>
      </w:r>
      <w:r w:rsidR="003A6B5B" w:rsidRPr="006F7E3E">
        <w:t>1,5,7-</w:t>
      </w:r>
      <w:proofErr w:type="gramStart"/>
      <w:r w:rsidRPr="006F7E3E">
        <w:t>triazabicycl</w:t>
      </w:r>
      <w:r w:rsidR="003F6CE1" w:rsidRPr="006F7E3E">
        <w:t>o[</w:t>
      </w:r>
      <w:proofErr w:type="gramEnd"/>
      <w:r w:rsidR="003F6CE1" w:rsidRPr="006F7E3E">
        <w:t>4</w:t>
      </w:r>
      <w:r w:rsidRPr="006F7E3E">
        <w:t xml:space="preserve">.4.0]dec-5-ene (TBD) as </w:t>
      </w:r>
      <w:r w:rsidR="007D77CE" w:rsidRPr="006F7E3E">
        <w:t xml:space="preserve">our </w:t>
      </w:r>
      <w:r w:rsidRPr="006F7E3E">
        <w:t>catalyst</w:t>
      </w:r>
      <w:r w:rsidR="007D77CE" w:rsidRPr="006F7E3E">
        <w:t>,</w:t>
      </w:r>
      <w:r w:rsidRPr="006F7E3E">
        <w:t xml:space="preserve"> as it fits the criteria</w:t>
      </w:r>
      <w:r w:rsidR="007D77CE" w:rsidRPr="006F7E3E">
        <w:t>,</w:t>
      </w:r>
      <w:r w:rsidRPr="006F7E3E">
        <w:t xml:space="preserve"> and is highly active for the ROP of LA [20,21]. Note also that the 1,8-</w:t>
      </w:r>
      <w:proofErr w:type="gramStart"/>
      <w:r w:rsidRPr="006F7E3E">
        <w:t>diazabicycl</w:t>
      </w:r>
      <w:r w:rsidR="00DA0F93" w:rsidRPr="006F7E3E">
        <w:t>o[</w:t>
      </w:r>
      <w:proofErr w:type="gramEnd"/>
      <w:r w:rsidR="00DA0F93" w:rsidRPr="006F7E3E">
        <w:t>5</w:t>
      </w:r>
      <w:r w:rsidRPr="006F7E3E">
        <w:t>.4.0]undec-7-ene (DBU) catalyst was also studied</w:t>
      </w:r>
      <w:r w:rsidR="007D77CE" w:rsidRPr="006F7E3E">
        <w:t>,</w:t>
      </w:r>
      <w:r w:rsidRPr="006F7E3E">
        <w:t xml:space="preserve"> but did not lead to any polymer production in the conditions presented here-after.</w:t>
      </w:r>
    </w:p>
    <w:bookmarkEnd w:id="5"/>
    <w:bookmarkEnd w:id="6"/>
    <w:p w14:paraId="7A82DEFD" w14:textId="253DA87E" w:rsidR="00807E37" w:rsidRPr="006F7E3E" w:rsidRDefault="00E93E70" w:rsidP="00E93E70">
      <w:pPr>
        <w:pStyle w:val="MDPI21heading1"/>
      </w:pPr>
      <w:r w:rsidRPr="006F7E3E">
        <w:lastRenderedPageBreak/>
        <w:t xml:space="preserve">2. </w:t>
      </w:r>
      <w:r w:rsidR="00807E37" w:rsidRPr="006F7E3E">
        <w:t>Results</w:t>
      </w:r>
      <w:r w:rsidR="009C0433" w:rsidRPr="006F7E3E">
        <w:t xml:space="preserve"> and Discussion</w:t>
      </w:r>
    </w:p>
    <w:p w14:paraId="09B17AB0" w14:textId="77F88F38" w:rsidR="009C0433" w:rsidRPr="006F7E3E" w:rsidRDefault="003A6B5B" w:rsidP="00E93E70">
      <w:pPr>
        <w:pStyle w:val="MDPI31text"/>
      </w:pPr>
      <w:r w:rsidRPr="006F7E3E">
        <w:t xml:space="preserve">Despite being studied at room temperature, in which a slight preference for </w:t>
      </w:r>
      <w:proofErr w:type="spellStart"/>
      <w:r w:rsidRPr="006F7E3E">
        <w:t>isotacticity</w:t>
      </w:r>
      <w:proofErr w:type="spellEnd"/>
      <w:r w:rsidRPr="006F7E3E">
        <w:t xml:space="preserve"> was reported (</w:t>
      </w:r>
      <w:r w:rsidRPr="006F7E3E">
        <w:rPr>
          <w:i/>
        </w:rPr>
        <w:t>P</w:t>
      </w:r>
      <w:r w:rsidRPr="006F7E3E">
        <w:rPr>
          <w:i/>
          <w:vertAlign w:val="subscript"/>
        </w:rPr>
        <w:t>m</w:t>
      </w:r>
      <w:r w:rsidRPr="006F7E3E">
        <w:t xml:space="preserve"> = 0.58, confirme</w:t>
      </w:r>
      <w:r w:rsidR="00DA0F93" w:rsidRPr="006F7E3E">
        <w:t>d through control experiments—</w:t>
      </w:r>
      <w:r w:rsidRPr="006F7E3E">
        <w:t xml:space="preserve">Figure 2), the ROP of LA using TBD as </w:t>
      </w:r>
      <w:r w:rsidR="007D77CE" w:rsidRPr="006F7E3E">
        <w:t xml:space="preserve">the </w:t>
      </w:r>
      <w:r w:rsidRPr="006F7E3E">
        <w:t>catalyst has never been previously reported at cryogenic temperatures, presumably due to the assumption that the low steric hindrance around the active site would not lead to high levels of stereo</w:t>
      </w:r>
      <w:r w:rsidR="007D77CE" w:rsidRPr="006F7E3E">
        <w:t>-</w:t>
      </w:r>
      <w:r w:rsidRPr="006F7E3E">
        <w:t>control in the polymerization.</w:t>
      </w:r>
    </w:p>
    <w:p w14:paraId="5AD22256" w14:textId="159B48A3" w:rsidR="00BD08D0" w:rsidRPr="006F7E3E" w:rsidRDefault="00BD08D0" w:rsidP="00E93E70">
      <w:pPr>
        <w:pStyle w:val="MDPI31text"/>
      </w:pPr>
      <w:r w:rsidRPr="006F7E3E">
        <w:t xml:space="preserve">At the outset, the ROP of </w:t>
      </w:r>
      <w:proofErr w:type="spellStart"/>
      <w:r w:rsidRPr="006F7E3E">
        <w:rPr>
          <w:i/>
          <w:iCs/>
        </w:rPr>
        <w:t>rac</w:t>
      </w:r>
      <w:proofErr w:type="spellEnd"/>
      <w:r w:rsidRPr="006F7E3E">
        <w:t xml:space="preserve">-LA was studied in toluene at </w:t>
      </w:r>
      <w:r w:rsidR="00E93E70" w:rsidRPr="006F7E3E">
        <w:t>−</w:t>
      </w:r>
      <w:r w:rsidRPr="006F7E3E">
        <w:t>75 °C for an initial benzyl alcohol (</w:t>
      </w:r>
      <w:proofErr w:type="spellStart"/>
      <w:r w:rsidRPr="006F7E3E">
        <w:t>BnOH</w:t>
      </w:r>
      <w:proofErr w:type="spellEnd"/>
      <w:r w:rsidRPr="006F7E3E">
        <w:t xml:space="preserve">)-to-TBD molar ratio of 10 and an initial </w:t>
      </w:r>
      <w:proofErr w:type="spellStart"/>
      <w:r w:rsidRPr="006F7E3E">
        <w:rPr>
          <w:i/>
          <w:iCs/>
        </w:rPr>
        <w:t>rac</w:t>
      </w:r>
      <w:proofErr w:type="spellEnd"/>
      <w:r w:rsidRPr="006F7E3E">
        <w:t>-LA concentration of 0.08 M ([</w:t>
      </w:r>
      <w:proofErr w:type="spellStart"/>
      <w:r w:rsidRPr="006F7E3E">
        <w:rPr>
          <w:i/>
          <w:iCs/>
        </w:rPr>
        <w:t>rac</w:t>
      </w:r>
      <w:proofErr w:type="spellEnd"/>
      <w:r w:rsidRPr="006F7E3E">
        <w:t>-LA]</w:t>
      </w:r>
      <w:r w:rsidRPr="006F7E3E">
        <w:rPr>
          <w:vertAlign w:val="subscript"/>
        </w:rPr>
        <w:t>0</w:t>
      </w:r>
      <w:r w:rsidRPr="006F7E3E">
        <w:t>/[</w:t>
      </w:r>
      <w:proofErr w:type="spellStart"/>
      <w:r w:rsidRPr="006F7E3E">
        <w:t>BnOH</w:t>
      </w:r>
      <w:proofErr w:type="spellEnd"/>
      <w:r w:rsidRPr="006F7E3E">
        <w:t>]</w:t>
      </w:r>
      <w:r w:rsidRPr="006F7E3E">
        <w:rPr>
          <w:vertAlign w:val="subscript"/>
        </w:rPr>
        <w:t>0</w:t>
      </w:r>
      <w:r w:rsidRPr="006F7E3E">
        <w:t xml:space="preserve"> = 100, Table 1, </w:t>
      </w:r>
      <w:r w:rsidR="00E93E70" w:rsidRPr="006F7E3E">
        <w:t xml:space="preserve">Entries </w:t>
      </w:r>
      <w:r w:rsidRPr="006F7E3E">
        <w:t>1</w:t>
      </w:r>
      <w:r w:rsidR="00E93E70" w:rsidRPr="006F7E3E">
        <w:t>–</w:t>
      </w:r>
      <w:r w:rsidRPr="006F7E3E">
        <w:t xml:space="preserve">2). The ROP of </w:t>
      </w:r>
      <w:proofErr w:type="spellStart"/>
      <w:r w:rsidRPr="006F7E3E">
        <w:rPr>
          <w:i/>
          <w:iCs/>
        </w:rPr>
        <w:t>rac</w:t>
      </w:r>
      <w:proofErr w:type="spellEnd"/>
      <w:r w:rsidRPr="006F7E3E">
        <w:t xml:space="preserve">-LA in such conditions is slow, requiring 2 h to reach an overall monomer conversion of 30% (Table 1, </w:t>
      </w:r>
      <w:r w:rsidR="00E93E70" w:rsidRPr="006F7E3E">
        <w:t xml:space="preserve">Entry </w:t>
      </w:r>
      <w:r w:rsidRPr="006F7E3E">
        <w:t xml:space="preserve">2). </w:t>
      </w:r>
      <w:bookmarkStart w:id="7" w:name="_Hlk41636619"/>
      <w:r w:rsidRPr="006F7E3E">
        <w:t>However, the resulting polymerization displays high levels of control with experimental number-average molecular weights (M</w:t>
      </w:r>
      <w:r w:rsidRPr="006F7E3E">
        <w:rPr>
          <w:vertAlign w:val="subscript"/>
        </w:rPr>
        <w:t>n, SEC</w:t>
      </w:r>
      <w:r w:rsidRPr="006F7E3E">
        <w:t xml:space="preserve">) </w:t>
      </w:r>
      <w:r w:rsidR="002B1329" w:rsidRPr="006F7E3E">
        <w:t>consistent with calculated</w:t>
      </w:r>
      <w:r w:rsidRPr="006F7E3E">
        <w:t xml:space="preserve"> monomer conversion</w:t>
      </w:r>
      <w:r w:rsidR="002B1329" w:rsidRPr="006F7E3E">
        <w:t>s</w:t>
      </w:r>
      <w:r w:rsidRPr="006F7E3E">
        <w:t xml:space="preserve">. The resulting </w:t>
      </w:r>
      <w:bookmarkEnd w:id="7"/>
      <w:r w:rsidRPr="006F7E3E">
        <w:t>PLAs also display dispersity values (</w:t>
      </w:r>
      <w:commentRangeStart w:id="8"/>
      <w:r w:rsidRPr="006F7E3E">
        <w:rPr>
          <w:i/>
        </w:rPr>
        <w:t>Ð</w:t>
      </w:r>
      <w:r w:rsidRPr="006F7E3E">
        <w:rPr>
          <w:i/>
          <w:vertAlign w:val="subscript"/>
        </w:rPr>
        <w:t>M</w:t>
      </w:r>
      <w:commentRangeEnd w:id="8"/>
      <w:r w:rsidR="0064400C" w:rsidRPr="006F7E3E">
        <w:rPr>
          <w:rStyle w:val="Marquedecommentaire"/>
          <w:rFonts w:ascii="Times New Roman" w:hAnsi="Times New Roman"/>
          <w:snapToGrid/>
          <w:lang w:bidi="ar-SA"/>
        </w:rPr>
        <w:commentReference w:id="8"/>
      </w:r>
      <w:r w:rsidRPr="006F7E3E">
        <w:t xml:space="preserve"> = </w:t>
      </w:r>
      <w:r w:rsidRPr="006F7E3E">
        <w:rPr>
          <w:i/>
        </w:rPr>
        <w:t>M</w:t>
      </w:r>
      <w:r w:rsidRPr="006F7E3E">
        <w:rPr>
          <w:i/>
          <w:vertAlign w:val="subscript"/>
        </w:rPr>
        <w:t>w</w:t>
      </w:r>
      <w:r w:rsidRPr="006F7E3E">
        <w:t>/</w:t>
      </w:r>
      <w:r w:rsidRPr="006F7E3E">
        <w:rPr>
          <w:i/>
        </w:rPr>
        <w:t>M</w:t>
      </w:r>
      <w:r w:rsidRPr="006F7E3E">
        <w:rPr>
          <w:i/>
          <w:vertAlign w:val="subscript"/>
        </w:rPr>
        <w:t>n</w:t>
      </w:r>
      <w:r w:rsidRPr="006F7E3E">
        <w:t xml:space="preserve">) less than 1.1. Homonuclear decoupled </w:t>
      </w:r>
      <w:r w:rsidRPr="006F7E3E">
        <w:rPr>
          <w:vertAlign w:val="superscript"/>
        </w:rPr>
        <w:t>1</w:t>
      </w:r>
      <w:r w:rsidRPr="006F7E3E">
        <w:t>H NMR spectroscopy of the resulting materials revealed the formation of isotactic PLAs</w:t>
      </w:r>
      <w:r w:rsidR="007D77CE" w:rsidRPr="006F7E3E">
        <w:t>,</w:t>
      </w:r>
      <w:r w:rsidRPr="006F7E3E">
        <w:t xml:space="preserve"> presenting </w:t>
      </w:r>
      <w:commentRangeStart w:id="9"/>
      <w:r w:rsidRPr="006F7E3E">
        <w:rPr>
          <w:i/>
        </w:rPr>
        <w:t>P</w:t>
      </w:r>
      <w:r w:rsidRPr="006F7E3E">
        <w:rPr>
          <w:i/>
          <w:vertAlign w:val="subscript"/>
        </w:rPr>
        <w:t>m</w:t>
      </w:r>
      <w:r w:rsidRPr="006F7E3E">
        <w:t xml:space="preserve"> </w:t>
      </w:r>
      <w:commentRangeEnd w:id="9"/>
      <w:r w:rsidR="0064400C" w:rsidRPr="006F7E3E">
        <w:rPr>
          <w:rStyle w:val="Marquedecommentaire"/>
          <w:rFonts w:ascii="Times New Roman" w:hAnsi="Times New Roman"/>
          <w:snapToGrid/>
          <w:lang w:bidi="ar-SA"/>
        </w:rPr>
        <w:commentReference w:id="9"/>
      </w:r>
      <w:r w:rsidRPr="006F7E3E">
        <w:t>values as high as 0</w:t>
      </w:r>
      <w:r w:rsidR="00E93E70" w:rsidRPr="006F7E3E">
        <w:t>.80–</w:t>
      </w:r>
      <w:r w:rsidRPr="006F7E3E">
        <w:t>0.84. Consistent with the formation of semi</w:t>
      </w:r>
      <w:r w:rsidR="007D77CE" w:rsidRPr="006F7E3E">
        <w:t>-</w:t>
      </w:r>
      <w:r w:rsidRPr="006F7E3E">
        <w:t xml:space="preserve">crystalline isotactic PLA, the polymers showed a </w:t>
      </w:r>
      <w:r w:rsidR="00E93E70" w:rsidRPr="006F7E3E">
        <w:t>melting transition at ca. 155–</w:t>
      </w:r>
      <w:r w:rsidRPr="006F7E3E">
        <w:t>157 °C on their differential scanning calorimetry (DSC) thermograms (See Supporting Information, Fig</w:t>
      </w:r>
      <w:r w:rsidR="00E93E70" w:rsidRPr="006F7E3E">
        <w:t>ures</w:t>
      </w:r>
      <w:r w:rsidRPr="006F7E3E">
        <w:t xml:space="preserve"> S4</w:t>
      </w:r>
      <w:r w:rsidR="00E93E70" w:rsidRPr="006F7E3E">
        <w:t>–</w:t>
      </w:r>
      <w:r w:rsidRPr="006F7E3E">
        <w:t>S5). In combination with a higher TBD initial content ([</w:t>
      </w:r>
      <w:proofErr w:type="spellStart"/>
      <w:r w:rsidRPr="006F7E3E">
        <w:t>BnOH</w:t>
      </w:r>
      <w:proofErr w:type="spellEnd"/>
      <w:r w:rsidRPr="006F7E3E">
        <w:t>]</w:t>
      </w:r>
      <w:r w:rsidRPr="006F7E3E">
        <w:rPr>
          <w:vertAlign w:val="subscript"/>
        </w:rPr>
        <w:t>0</w:t>
      </w:r>
      <w:r w:rsidRPr="006F7E3E">
        <w:t>/[TBD]</w:t>
      </w:r>
      <w:r w:rsidRPr="006F7E3E">
        <w:rPr>
          <w:vertAlign w:val="subscript"/>
        </w:rPr>
        <w:t>0</w:t>
      </w:r>
      <w:r w:rsidRPr="006F7E3E">
        <w:t xml:space="preserve"> = 1), the use of a [</w:t>
      </w:r>
      <w:proofErr w:type="spellStart"/>
      <w:r w:rsidRPr="006F7E3E">
        <w:rPr>
          <w:i/>
          <w:iCs/>
        </w:rPr>
        <w:t>rac</w:t>
      </w:r>
      <w:proofErr w:type="spellEnd"/>
      <w:r w:rsidRPr="006F7E3E">
        <w:t>-LA]</w:t>
      </w:r>
      <w:r w:rsidRPr="006F7E3E">
        <w:rPr>
          <w:vertAlign w:val="subscript"/>
        </w:rPr>
        <w:t>0</w:t>
      </w:r>
      <w:r w:rsidRPr="006F7E3E">
        <w:t xml:space="preserve"> of 0.22 M was effective to mediate a faster stereoselective ROP, resulting in PLAs of high </w:t>
      </w:r>
      <w:proofErr w:type="spellStart"/>
      <w:r w:rsidRPr="006F7E3E">
        <w:t>isotacticity</w:t>
      </w:r>
      <w:proofErr w:type="spellEnd"/>
      <w:r w:rsidRPr="006F7E3E">
        <w:t xml:space="preserve"> with </w:t>
      </w:r>
      <w:commentRangeStart w:id="10"/>
      <w:r w:rsidRPr="006F7E3E">
        <w:rPr>
          <w:i/>
        </w:rPr>
        <w:t>P</w:t>
      </w:r>
      <w:r w:rsidRPr="006F7E3E">
        <w:rPr>
          <w:i/>
          <w:vertAlign w:val="subscript"/>
        </w:rPr>
        <w:t>m</w:t>
      </w:r>
      <w:r w:rsidRPr="006F7E3E">
        <w:t xml:space="preserve"> </w:t>
      </w:r>
      <w:commentRangeEnd w:id="10"/>
      <w:r w:rsidR="0064400C" w:rsidRPr="006F7E3E">
        <w:rPr>
          <w:rStyle w:val="Marquedecommentaire"/>
          <w:rFonts w:ascii="Times New Roman" w:hAnsi="Times New Roman"/>
          <w:snapToGrid/>
          <w:lang w:bidi="ar-SA"/>
        </w:rPr>
        <w:commentReference w:id="10"/>
      </w:r>
      <w:r w:rsidRPr="006F7E3E">
        <w:t>values of 0.85 (</w:t>
      </w:r>
      <w:r w:rsidR="00E93E70" w:rsidRPr="006F7E3E">
        <w:t xml:space="preserve">Entries </w:t>
      </w:r>
      <w:r w:rsidRPr="006F7E3E">
        <w:t>3</w:t>
      </w:r>
      <w:r w:rsidR="00E93E70" w:rsidRPr="006F7E3E">
        <w:t>–</w:t>
      </w:r>
      <w:r w:rsidRPr="006F7E3E">
        <w:t>4, Table 1).</w:t>
      </w:r>
    </w:p>
    <w:p w14:paraId="350DC49B" w14:textId="77777777" w:rsidR="00B42BA3" w:rsidRPr="006F7E3E" w:rsidRDefault="00B42BA3" w:rsidP="00B42BA3">
      <w:pPr>
        <w:pStyle w:val="MDPI41tablecaption"/>
        <w:jc w:val="center"/>
      </w:pPr>
      <w:r w:rsidRPr="006F7E3E">
        <w:rPr>
          <w:b/>
        </w:rPr>
        <w:t xml:space="preserve">Table 1. </w:t>
      </w:r>
      <w:r w:rsidRPr="006F7E3E">
        <w:t xml:space="preserve">ROP of </w:t>
      </w:r>
      <w:proofErr w:type="spellStart"/>
      <w:r w:rsidRPr="006F7E3E">
        <w:rPr>
          <w:i/>
          <w:iCs/>
        </w:rPr>
        <w:t>rac</w:t>
      </w:r>
      <w:proofErr w:type="spellEnd"/>
      <w:r w:rsidRPr="006F7E3E">
        <w:t>-LA in toluene at −75 °C.</w:t>
      </w:r>
    </w:p>
    <w:tbl>
      <w:tblPr>
        <w:tblW w:w="8788" w:type="dxa"/>
        <w:jc w:val="center"/>
        <w:tblLayout w:type="fixed"/>
        <w:tblLook w:val="0020" w:firstRow="1" w:lastRow="0" w:firstColumn="0" w:lastColumn="0" w:noHBand="0" w:noVBand="0"/>
      </w:tblPr>
      <w:tblGrid>
        <w:gridCol w:w="709"/>
        <w:gridCol w:w="992"/>
        <w:gridCol w:w="1134"/>
        <w:gridCol w:w="709"/>
        <w:gridCol w:w="850"/>
        <w:gridCol w:w="992"/>
        <w:gridCol w:w="640"/>
        <w:gridCol w:w="636"/>
        <w:gridCol w:w="708"/>
        <w:gridCol w:w="708"/>
        <w:gridCol w:w="710"/>
      </w:tblGrid>
      <w:tr w:rsidR="00B42BA3" w:rsidRPr="006F7E3E" w14:paraId="06DE72F1" w14:textId="77777777" w:rsidTr="00BF2BA6">
        <w:trPr>
          <w:jc w:val="center"/>
        </w:trPr>
        <w:tc>
          <w:tcPr>
            <w:tcW w:w="709" w:type="dxa"/>
            <w:tcBorders>
              <w:top w:val="single" w:sz="8" w:space="0" w:color="auto"/>
              <w:bottom w:val="single" w:sz="4" w:space="0" w:color="auto"/>
            </w:tcBorders>
            <w:shd w:val="clear" w:color="auto" w:fill="auto"/>
            <w:vAlign w:val="center"/>
          </w:tcPr>
          <w:p w14:paraId="6C3C4D64" w14:textId="77777777" w:rsidR="00B42BA3" w:rsidRPr="006F7E3E" w:rsidRDefault="00B42BA3" w:rsidP="00BF2BA6">
            <w:pPr>
              <w:pStyle w:val="MDPI42tablebody"/>
              <w:autoSpaceDE w:val="0"/>
              <w:autoSpaceDN w:val="0"/>
              <w:spacing w:line="240" w:lineRule="auto"/>
              <w:rPr>
                <w:b/>
                <w:bCs/>
                <w:sz w:val="18"/>
                <w:szCs w:val="18"/>
              </w:rPr>
            </w:pPr>
            <w:r w:rsidRPr="006F7E3E">
              <w:rPr>
                <w:b/>
                <w:bCs/>
                <w:sz w:val="18"/>
                <w:szCs w:val="18"/>
              </w:rPr>
              <w:t>Entry</w:t>
            </w:r>
          </w:p>
        </w:tc>
        <w:tc>
          <w:tcPr>
            <w:tcW w:w="992" w:type="dxa"/>
            <w:tcBorders>
              <w:top w:val="single" w:sz="8" w:space="0" w:color="auto"/>
              <w:bottom w:val="single" w:sz="4" w:space="0" w:color="auto"/>
            </w:tcBorders>
            <w:shd w:val="clear" w:color="auto" w:fill="auto"/>
            <w:vAlign w:val="center"/>
          </w:tcPr>
          <w:p w14:paraId="6071E26C" w14:textId="77777777" w:rsidR="00B42BA3" w:rsidRPr="006F7E3E" w:rsidRDefault="00B42BA3" w:rsidP="00BF2BA6">
            <w:pPr>
              <w:pStyle w:val="MDPI42tablebody"/>
              <w:autoSpaceDE w:val="0"/>
              <w:autoSpaceDN w:val="0"/>
              <w:spacing w:line="240" w:lineRule="auto"/>
              <w:rPr>
                <w:b/>
                <w:bCs/>
                <w:sz w:val="18"/>
                <w:szCs w:val="18"/>
              </w:rPr>
            </w:pPr>
            <w:r w:rsidRPr="006F7E3E">
              <w:rPr>
                <w:b/>
                <w:bCs/>
                <w:sz w:val="18"/>
                <w:szCs w:val="18"/>
              </w:rPr>
              <w:t>[</w:t>
            </w:r>
            <w:proofErr w:type="spellStart"/>
            <w:r w:rsidRPr="006F7E3E">
              <w:rPr>
                <w:b/>
                <w:bCs/>
                <w:sz w:val="18"/>
                <w:szCs w:val="18"/>
              </w:rPr>
              <w:t>rac</w:t>
            </w:r>
            <w:proofErr w:type="spellEnd"/>
            <w:r w:rsidRPr="006F7E3E">
              <w:rPr>
                <w:b/>
                <w:bCs/>
                <w:sz w:val="18"/>
                <w:szCs w:val="18"/>
              </w:rPr>
              <w:t>-LA]</w:t>
            </w:r>
            <w:r w:rsidRPr="006F7E3E">
              <w:rPr>
                <w:b/>
                <w:bCs/>
                <w:sz w:val="18"/>
                <w:szCs w:val="18"/>
                <w:vertAlign w:val="subscript"/>
              </w:rPr>
              <w:t>0</w:t>
            </w:r>
          </w:p>
          <w:p w14:paraId="0C08350F" w14:textId="77777777" w:rsidR="00B42BA3" w:rsidRPr="006F7E3E" w:rsidRDefault="00B42BA3" w:rsidP="00BF2BA6">
            <w:pPr>
              <w:pStyle w:val="MDPI42tablebody"/>
              <w:autoSpaceDE w:val="0"/>
              <w:autoSpaceDN w:val="0"/>
              <w:spacing w:line="240" w:lineRule="auto"/>
              <w:rPr>
                <w:b/>
                <w:bCs/>
                <w:sz w:val="18"/>
                <w:szCs w:val="18"/>
              </w:rPr>
            </w:pPr>
            <w:r w:rsidRPr="006F7E3E">
              <w:rPr>
                <w:b/>
                <w:bCs/>
                <w:sz w:val="18"/>
                <w:szCs w:val="18"/>
              </w:rPr>
              <w:t>(M)</w:t>
            </w:r>
          </w:p>
        </w:tc>
        <w:tc>
          <w:tcPr>
            <w:tcW w:w="1134" w:type="dxa"/>
            <w:tcBorders>
              <w:top w:val="single" w:sz="8" w:space="0" w:color="auto"/>
              <w:bottom w:val="single" w:sz="4" w:space="0" w:color="auto"/>
            </w:tcBorders>
            <w:shd w:val="clear" w:color="auto" w:fill="auto"/>
            <w:vAlign w:val="center"/>
          </w:tcPr>
          <w:p w14:paraId="31E8428A" w14:textId="77777777" w:rsidR="00B42BA3" w:rsidRPr="006F7E3E" w:rsidRDefault="00B42BA3" w:rsidP="00BF2BA6">
            <w:pPr>
              <w:pStyle w:val="MDPI42tablebody"/>
              <w:autoSpaceDE w:val="0"/>
              <w:autoSpaceDN w:val="0"/>
              <w:spacing w:line="240" w:lineRule="auto"/>
              <w:rPr>
                <w:b/>
                <w:bCs/>
                <w:sz w:val="18"/>
                <w:szCs w:val="18"/>
              </w:rPr>
            </w:pPr>
            <w:r w:rsidRPr="006F7E3E">
              <w:rPr>
                <w:b/>
                <w:bCs/>
                <w:sz w:val="18"/>
                <w:szCs w:val="18"/>
              </w:rPr>
              <w:t>[</w:t>
            </w:r>
            <w:proofErr w:type="spellStart"/>
            <w:r w:rsidRPr="006F7E3E">
              <w:rPr>
                <w:b/>
                <w:bCs/>
                <w:sz w:val="18"/>
                <w:szCs w:val="18"/>
              </w:rPr>
              <w:t>rac</w:t>
            </w:r>
            <w:proofErr w:type="spellEnd"/>
            <w:r w:rsidRPr="006F7E3E">
              <w:rPr>
                <w:b/>
                <w:bCs/>
                <w:sz w:val="18"/>
                <w:szCs w:val="18"/>
              </w:rPr>
              <w:t>-LA]</w:t>
            </w:r>
            <w:r w:rsidRPr="006F7E3E">
              <w:rPr>
                <w:b/>
                <w:bCs/>
                <w:sz w:val="18"/>
                <w:szCs w:val="18"/>
                <w:vertAlign w:val="subscript"/>
              </w:rPr>
              <w:t>0</w:t>
            </w:r>
            <w:r w:rsidRPr="006F7E3E">
              <w:rPr>
                <w:b/>
                <w:bCs/>
                <w:sz w:val="18"/>
                <w:szCs w:val="18"/>
              </w:rPr>
              <w:t>/</w:t>
            </w:r>
          </w:p>
          <w:p w14:paraId="364D638D" w14:textId="77777777" w:rsidR="00B42BA3" w:rsidRPr="006F7E3E" w:rsidRDefault="00B42BA3" w:rsidP="00BF2BA6">
            <w:pPr>
              <w:pStyle w:val="MDPI42tablebody"/>
              <w:autoSpaceDE w:val="0"/>
              <w:autoSpaceDN w:val="0"/>
              <w:spacing w:line="240" w:lineRule="auto"/>
              <w:rPr>
                <w:b/>
                <w:bCs/>
                <w:sz w:val="18"/>
                <w:szCs w:val="18"/>
              </w:rPr>
            </w:pPr>
            <w:r w:rsidRPr="006F7E3E">
              <w:rPr>
                <w:b/>
                <w:bCs/>
                <w:sz w:val="18"/>
                <w:szCs w:val="18"/>
              </w:rPr>
              <w:t>[</w:t>
            </w:r>
            <w:proofErr w:type="spellStart"/>
            <w:r w:rsidRPr="006F7E3E">
              <w:rPr>
                <w:b/>
                <w:bCs/>
                <w:sz w:val="18"/>
                <w:szCs w:val="18"/>
              </w:rPr>
              <w:t>BnOH</w:t>
            </w:r>
            <w:proofErr w:type="spellEnd"/>
            <w:r w:rsidRPr="006F7E3E">
              <w:rPr>
                <w:b/>
                <w:bCs/>
                <w:sz w:val="18"/>
                <w:szCs w:val="18"/>
              </w:rPr>
              <w:t>]</w:t>
            </w:r>
            <w:r w:rsidRPr="006F7E3E">
              <w:rPr>
                <w:b/>
                <w:bCs/>
                <w:sz w:val="18"/>
                <w:szCs w:val="18"/>
                <w:vertAlign w:val="subscript"/>
              </w:rPr>
              <w:t>0</w:t>
            </w:r>
            <w:r w:rsidRPr="006F7E3E">
              <w:rPr>
                <w:b/>
                <w:bCs/>
                <w:sz w:val="18"/>
                <w:szCs w:val="18"/>
              </w:rPr>
              <w:t>/</w:t>
            </w:r>
          </w:p>
          <w:p w14:paraId="51F0F3A2" w14:textId="77777777" w:rsidR="00B42BA3" w:rsidRPr="006F7E3E" w:rsidRDefault="00B42BA3" w:rsidP="00BF2BA6">
            <w:pPr>
              <w:pStyle w:val="MDPI42tablebody"/>
              <w:autoSpaceDE w:val="0"/>
              <w:autoSpaceDN w:val="0"/>
              <w:spacing w:line="240" w:lineRule="auto"/>
              <w:rPr>
                <w:b/>
                <w:bCs/>
                <w:sz w:val="18"/>
                <w:szCs w:val="18"/>
              </w:rPr>
            </w:pPr>
            <w:r w:rsidRPr="006F7E3E">
              <w:rPr>
                <w:b/>
                <w:bCs/>
                <w:sz w:val="18"/>
                <w:szCs w:val="18"/>
              </w:rPr>
              <w:t>[TBD]</w:t>
            </w:r>
            <w:r w:rsidRPr="006F7E3E">
              <w:rPr>
                <w:b/>
                <w:bCs/>
                <w:sz w:val="18"/>
                <w:szCs w:val="18"/>
                <w:vertAlign w:val="subscript"/>
              </w:rPr>
              <w:t>0</w:t>
            </w:r>
          </w:p>
        </w:tc>
        <w:tc>
          <w:tcPr>
            <w:tcW w:w="709" w:type="dxa"/>
            <w:tcBorders>
              <w:top w:val="single" w:sz="8" w:space="0" w:color="auto"/>
              <w:bottom w:val="single" w:sz="4" w:space="0" w:color="auto"/>
            </w:tcBorders>
            <w:shd w:val="clear" w:color="auto" w:fill="auto"/>
            <w:vAlign w:val="center"/>
          </w:tcPr>
          <w:p w14:paraId="23BF7EC5" w14:textId="77777777" w:rsidR="00B42BA3" w:rsidRPr="006F7E3E" w:rsidRDefault="00B42BA3" w:rsidP="00BF2BA6">
            <w:pPr>
              <w:pStyle w:val="MDPI42tablebody"/>
              <w:autoSpaceDE w:val="0"/>
              <w:autoSpaceDN w:val="0"/>
              <w:spacing w:line="240" w:lineRule="auto"/>
              <w:rPr>
                <w:b/>
                <w:bCs/>
                <w:sz w:val="18"/>
                <w:szCs w:val="18"/>
              </w:rPr>
            </w:pPr>
            <w:r w:rsidRPr="006F7E3E">
              <w:rPr>
                <w:b/>
                <w:bCs/>
                <w:sz w:val="18"/>
                <w:szCs w:val="18"/>
              </w:rPr>
              <w:t xml:space="preserve">t </w:t>
            </w:r>
          </w:p>
          <w:p w14:paraId="046F1B25" w14:textId="77777777" w:rsidR="00B42BA3" w:rsidRPr="006F7E3E" w:rsidRDefault="00B42BA3" w:rsidP="00BF2BA6">
            <w:pPr>
              <w:pStyle w:val="MDPI42tablebody"/>
              <w:autoSpaceDE w:val="0"/>
              <w:autoSpaceDN w:val="0"/>
              <w:spacing w:line="240" w:lineRule="auto"/>
              <w:rPr>
                <w:b/>
                <w:bCs/>
                <w:sz w:val="18"/>
                <w:szCs w:val="18"/>
              </w:rPr>
            </w:pPr>
            <w:r w:rsidRPr="006F7E3E">
              <w:rPr>
                <w:b/>
                <w:bCs/>
                <w:sz w:val="18"/>
                <w:szCs w:val="18"/>
              </w:rPr>
              <w:t>(min)</w:t>
            </w:r>
          </w:p>
        </w:tc>
        <w:tc>
          <w:tcPr>
            <w:tcW w:w="850" w:type="dxa"/>
            <w:tcBorders>
              <w:top w:val="single" w:sz="8" w:space="0" w:color="auto"/>
              <w:bottom w:val="single" w:sz="4" w:space="0" w:color="auto"/>
            </w:tcBorders>
            <w:shd w:val="clear" w:color="auto" w:fill="auto"/>
            <w:vAlign w:val="center"/>
          </w:tcPr>
          <w:p w14:paraId="35710A2C" w14:textId="77777777" w:rsidR="00B42BA3" w:rsidRPr="006F7E3E" w:rsidRDefault="00B42BA3" w:rsidP="00BF2BA6">
            <w:pPr>
              <w:pStyle w:val="MDPI42tablebody"/>
              <w:autoSpaceDE w:val="0"/>
              <w:autoSpaceDN w:val="0"/>
              <w:spacing w:line="240" w:lineRule="auto"/>
              <w:rPr>
                <w:b/>
                <w:bCs/>
                <w:sz w:val="18"/>
                <w:szCs w:val="18"/>
              </w:rPr>
            </w:pPr>
            <w:r w:rsidRPr="006F7E3E">
              <w:rPr>
                <w:b/>
                <w:bCs/>
                <w:sz w:val="18"/>
                <w:szCs w:val="18"/>
              </w:rPr>
              <w:t xml:space="preserve">Conv. </w:t>
            </w:r>
            <w:r w:rsidRPr="006F7E3E">
              <w:rPr>
                <w:b/>
                <w:bCs/>
                <w:sz w:val="18"/>
                <w:szCs w:val="18"/>
                <w:vertAlign w:val="superscript"/>
              </w:rPr>
              <w:t>1</w:t>
            </w:r>
          </w:p>
          <w:p w14:paraId="4CA00882" w14:textId="77777777" w:rsidR="00B42BA3" w:rsidRPr="006F7E3E" w:rsidRDefault="00B42BA3" w:rsidP="00BF2BA6">
            <w:pPr>
              <w:pStyle w:val="MDPI42tablebody"/>
              <w:autoSpaceDE w:val="0"/>
              <w:autoSpaceDN w:val="0"/>
              <w:spacing w:line="240" w:lineRule="auto"/>
              <w:rPr>
                <w:b/>
                <w:bCs/>
                <w:sz w:val="18"/>
                <w:szCs w:val="18"/>
              </w:rPr>
            </w:pPr>
            <w:r w:rsidRPr="006F7E3E">
              <w:rPr>
                <w:b/>
                <w:bCs/>
                <w:sz w:val="18"/>
                <w:szCs w:val="18"/>
              </w:rPr>
              <w:t>(%)</w:t>
            </w:r>
          </w:p>
        </w:tc>
        <w:tc>
          <w:tcPr>
            <w:tcW w:w="992" w:type="dxa"/>
            <w:tcBorders>
              <w:top w:val="single" w:sz="8" w:space="0" w:color="auto"/>
              <w:bottom w:val="single" w:sz="4" w:space="0" w:color="auto"/>
            </w:tcBorders>
            <w:shd w:val="clear" w:color="auto" w:fill="auto"/>
            <w:vAlign w:val="center"/>
          </w:tcPr>
          <w:p w14:paraId="32734ADB" w14:textId="77777777" w:rsidR="00B42BA3" w:rsidRPr="006F7E3E" w:rsidRDefault="00B42BA3" w:rsidP="00BF2BA6">
            <w:pPr>
              <w:pStyle w:val="MDPI42tablebody"/>
              <w:autoSpaceDE w:val="0"/>
              <w:autoSpaceDN w:val="0"/>
              <w:spacing w:line="240" w:lineRule="auto"/>
              <w:rPr>
                <w:b/>
                <w:bCs/>
                <w:sz w:val="18"/>
                <w:szCs w:val="18"/>
              </w:rPr>
            </w:pPr>
            <w:commentRangeStart w:id="11"/>
            <w:r w:rsidRPr="006F7E3E">
              <w:rPr>
                <w:b/>
                <w:bCs/>
                <w:i/>
                <w:sz w:val="18"/>
                <w:szCs w:val="18"/>
              </w:rPr>
              <w:t>M</w:t>
            </w:r>
            <w:r w:rsidRPr="006F7E3E">
              <w:rPr>
                <w:b/>
                <w:bCs/>
                <w:i/>
                <w:sz w:val="18"/>
                <w:szCs w:val="18"/>
                <w:vertAlign w:val="subscript"/>
              </w:rPr>
              <w:t>n</w:t>
            </w:r>
            <w:commentRangeEnd w:id="11"/>
            <w:r w:rsidRPr="006F7E3E">
              <w:rPr>
                <w:rStyle w:val="Marquedecommentaire"/>
                <w:rFonts w:ascii="Times New Roman" w:hAnsi="Times New Roman"/>
                <w:snapToGrid/>
                <w:lang w:bidi="ar-SA"/>
              </w:rPr>
              <w:commentReference w:id="11"/>
            </w:r>
            <w:r w:rsidRPr="006F7E3E">
              <w:rPr>
                <w:b/>
                <w:bCs/>
                <w:sz w:val="18"/>
                <w:szCs w:val="18"/>
                <w:vertAlign w:val="subscript"/>
              </w:rPr>
              <w:t xml:space="preserve"> </w:t>
            </w:r>
            <w:r w:rsidRPr="006F7E3E">
              <w:rPr>
                <w:b/>
                <w:bCs/>
                <w:sz w:val="18"/>
                <w:szCs w:val="18"/>
                <w:vertAlign w:val="superscript"/>
              </w:rPr>
              <w:t>2</w:t>
            </w:r>
          </w:p>
          <w:p w14:paraId="0C0B6F0E" w14:textId="77777777" w:rsidR="00B42BA3" w:rsidRPr="006F7E3E" w:rsidRDefault="00B42BA3" w:rsidP="00BF2BA6">
            <w:pPr>
              <w:pStyle w:val="MDPI42tablebody"/>
              <w:autoSpaceDE w:val="0"/>
              <w:autoSpaceDN w:val="0"/>
              <w:spacing w:line="240" w:lineRule="auto"/>
              <w:rPr>
                <w:b/>
                <w:bCs/>
                <w:sz w:val="18"/>
                <w:szCs w:val="18"/>
              </w:rPr>
            </w:pPr>
            <w:r w:rsidRPr="006F7E3E">
              <w:rPr>
                <w:b/>
                <w:bCs/>
                <w:sz w:val="18"/>
                <w:szCs w:val="18"/>
              </w:rPr>
              <w:t>(g.mol</w:t>
            </w:r>
            <w:r w:rsidRPr="006F7E3E">
              <w:rPr>
                <w:b/>
                <w:bCs/>
                <w:sz w:val="18"/>
                <w:szCs w:val="18"/>
                <w:vertAlign w:val="superscript"/>
              </w:rPr>
              <w:t>−1</w:t>
            </w:r>
            <w:r w:rsidRPr="006F7E3E">
              <w:rPr>
                <w:b/>
                <w:bCs/>
                <w:sz w:val="18"/>
                <w:szCs w:val="18"/>
              </w:rPr>
              <w:t>)</w:t>
            </w:r>
          </w:p>
        </w:tc>
        <w:tc>
          <w:tcPr>
            <w:tcW w:w="640" w:type="dxa"/>
            <w:tcBorders>
              <w:top w:val="single" w:sz="8" w:space="0" w:color="auto"/>
              <w:bottom w:val="single" w:sz="4" w:space="0" w:color="auto"/>
            </w:tcBorders>
            <w:shd w:val="clear" w:color="auto" w:fill="auto"/>
            <w:vAlign w:val="center"/>
          </w:tcPr>
          <w:p w14:paraId="2DB0281B" w14:textId="77777777" w:rsidR="00B42BA3" w:rsidRPr="006F7E3E" w:rsidRDefault="00B42BA3" w:rsidP="00BF2BA6">
            <w:pPr>
              <w:pStyle w:val="MDPI42tablebody"/>
              <w:autoSpaceDE w:val="0"/>
              <w:autoSpaceDN w:val="0"/>
              <w:spacing w:line="240" w:lineRule="auto"/>
              <w:rPr>
                <w:b/>
                <w:bCs/>
                <w:sz w:val="18"/>
                <w:szCs w:val="18"/>
              </w:rPr>
            </w:pPr>
            <w:r w:rsidRPr="006F7E3E">
              <w:rPr>
                <w:b/>
                <w:bCs/>
                <w:i/>
                <w:sz w:val="18"/>
                <w:szCs w:val="18"/>
              </w:rPr>
              <w:t>Đ</w:t>
            </w:r>
            <w:r w:rsidRPr="006F7E3E">
              <w:rPr>
                <w:b/>
                <w:bCs/>
                <w:i/>
                <w:sz w:val="18"/>
                <w:szCs w:val="18"/>
                <w:vertAlign w:val="subscript"/>
              </w:rPr>
              <w:t>M</w:t>
            </w:r>
            <w:r w:rsidRPr="006F7E3E">
              <w:rPr>
                <w:b/>
                <w:bCs/>
                <w:sz w:val="18"/>
                <w:szCs w:val="18"/>
                <w:vertAlign w:val="subscript"/>
              </w:rPr>
              <w:t xml:space="preserve"> </w:t>
            </w:r>
            <w:r w:rsidRPr="006F7E3E">
              <w:rPr>
                <w:b/>
                <w:bCs/>
                <w:sz w:val="18"/>
                <w:szCs w:val="18"/>
                <w:vertAlign w:val="superscript"/>
              </w:rPr>
              <w:t>2</w:t>
            </w:r>
          </w:p>
        </w:tc>
        <w:tc>
          <w:tcPr>
            <w:tcW w:w="636" w:type="dxa"/>
            <w:tcBorders>
              <w:top w:val="single" w:sz="8" w:space="0" w:color="auto"/>
              <w:bottom w:val="single" w:sz="4" w:space="0" w:color="auto"/>
            </w:tcBorders>
            <w:shd w:val="clear" w:color="auto" w:fill="auto"/>
            <w:vAlign w:val="center"/>
          </w:tcPr>
          <w:p w14:paraId="59FF5A3D" w14:textId="77777777" w:rsidR="00B42BA3" w:rsidRPr="006F7E3E" w:rsidRDefault="00B42BA3" w:rsidP="00BF2BA6">
            <w:pPr>
              <w:pStyle w:val="MDPI42tablebody"/>
              <w:autoSpaceDE w:val="0"/>
              <w:autoSpaceDN w:val="0"/>
              <w:spacing w:line="240" w:lineRule="auto"/>
              <w:rPr>
                <w:b/>
                <w:bCs/>
                <w:sz w:val="18"/>
                <w:szCs w:val="18"/>
              </w:rPr>
            </w:pPr>
            <w:r w:rsidRPr="006F7E3E">
              <w:rPr>
                <w:b/>
                <w:bCs/>
                <w:i/>
                <w:sz w:val="18"/>
                <w:szCs w:val="18"/>
              </w:rPr>
              <w:t>P</w:t>
            </w:r>
            <w:r w:rsidRPr="006F7E3E">
              <w:rPr>
                <w:b/>
                <w:bCs/>
                <w:i/>
                <w:sz w:val="18"/>
                <w:szCs w:val="18"/>
                <w:vertAlign w:val="subscript"/>
              </w:rPr>
              <w:t>m</w:t>
            </w:r>
            <w:r w:rsidRPr="006F7E3E">
              <w:rPr>
                <w:b/>
                <w:bCs/>
                <w:sz w:val="18"/>
                <w:szCs w:val="18"/>
                <w:vertAlign w:val="subscript"/>
              </w:rPr>
              <w:t xml:space="preserve"> </w:t>
            </w:r>
            <w:r w:rsidRPr="006F7E3E">
              <w:rPr>
                <w:b/>
                <w:bCs/>
                <w:sz w:val="18"/>
                <w:szCs w:val="18"/>
                <w:vertAlign w:val="superscript"/>
              </w:rPr>
              <w:t>3</w:t>
            </w:r>
          </w:p>
        </w:tc>
        <w:tc>
          <w:tcPr>
            <w:tcW w:w="708" w:type="dxa"/>
            <w:tcBorders>
              <w:top w:val="single" w:sz="8" w:space="0" w:color="auto"/>
              <w:bottom w:val="single" w:sz="4" w:space="0" w:color="auto"/>
            </w:tcBorders>
            <w:shd w:val="clear" w:color="auto" w:fill="auto"/>
            <w:vAlign w:val="center"/>
          </w:tcPr>
          <w:p w14:paraId="3435CC79" w14:textId="77777777" w:rsidR="00B42BA3" w:rsidRPr="006F7E3E" w:rsidRDefault="00B42BA3" w:rsidP="00BF2BA6">
            <w:pPr>
              <w:pStyle w:val="MDPI42tablebody"/>
              <w:autoSpaceDE w:val="0"/>
              <w:autoSpaceDN w:val="0"/>
              <w:spacing w:line="240" w:lineRule="auto"/>
              <w:rPr>
                <w:b/>
                <w:bCs/>
                <w:sz w:val="18"/>
                <w:szCs w:val="18"/>
              </w:rPr>
            </w:pPr>
            <w:proofErr w:type="spellStart"/>
            <w:r w:rsidRPr="006F7E3E">
              <w:rPr>
                <w:b/>
                <w:bCs/>
                <w:i/>
                <w:sz w:val="18"/>
                <w:szCs w:val="18"/>
              </w:rPr>
              <w:t>T</w:t>
            </w:r>
            <w:r w:rsidRPr="006F7E3E">
              <w:rPr>
                <w:b/>
                <w:bCs/>
                <w:i/>
                <w:sz w:val="18"/>
                <w:szCs w:val="18"/>
                <w:vertAlign w:val="subscript"/>
              </w:rPr>
              <w:t>g</w:t>
            </w:r>
            <w:proofErr w:type="spellEnd"/>
            <w:r w:rsidRPr="006F7E3E">
              <w:rPr>
                <w:b/>
                <w:bCs/>
                <w:sz w:val="18"/>
                <w:szCs w:val="18"/>
              </w:rPr>
              <w:t xml:space="preserve"> </w:t>
            </w:r>
            <w:r w:rsidRPr="006F7E3E">
              <w:rPr>
                <w:b/>
                <w:bCs/>
                <w:sz w:val="18"/>
                <w:szCs w:val="18"/>
                <w:vertAlign w:val="superscript"/>
              </w:rPr>
              <w:t>4</w:t>
            </w:r>
          </w:p>
          <w:p w14:paraId="0EF21088" w14:textId="77777777" w:rsidR="00B42BA3" w:rsidRPr="006F7E3E" w:rsidRDefault="00B42BA3" w:rsidP="00BF2BA6">
            <w:pPr>
              <w:pStyle w:val="MDPI42tablebody"/>
              <w:autoSpaceDE w:val="0"/>
              <w:autoSpaceDN w:val="0"/>
              <w:spacing w:line="240" w:lineRule="auto"/>
              <w:rPr>
                <w:b/>
                <w:bCs/>
                <w:sz w:val="18"/>
                <w:szCs w:val="18"/>
              </w:rPr>
            </w:pPr>
            <w:r w:rsidRPr="006F7E3E">
              <w:rPr>
                <w:b/>
                <w:bCs/>
                <w:sz w:val="18"/>
                <w:szCs w:val="18"/>
              </w:rPr>
              <w:t>(°C)</w:t>
            </w:r>
          </w:p>
        </w:tc>
        <w:tc>
          <w:tcPr>
            <w:tcW w:w="708" w:type="dxa"/>
            <w:tcBorders>
              <w:top w:val="single" w:sz="8" w:space="0" w:color="auto"/>
              <w:bottom w:val="single" w:sz="4" w:space="0" w:color="auto"/>
            </w:tcBorders>
            <w:shd w:val="clear" w:color="auto" w:fill="auto"/>
            <w:vAlign w:val="center"/>
          </w:tcPr>
          <w:p w14:paraId="7770EB53" w14:textId="77777777" w:rsidR="00B42BA3" w:rsidRPr="006F7E3E" w:rsidRDefault="00B42BA3" w:rsidP="00BF2BA6">
            <w:pPr>
              <w:pStyle w:val="MDPI42tablebody"/>
              <w:autoSpaceDE w:val="0"/>
              <w:autoSpaceDN w:val="0"/>
              <w:spacing w:line="240" w:lineRule="auto"/>
              <w:rPr>
                <w:b/>
                <w:bCs/>
                <w:sz w:val="18"/>
                <w:szCs w:val="18"/>
              </w:rPr>
            </w:pPr>
            <w:r w:rsidRPr="006F7E3E">
              <w:rPr>
                <w:b/>
                <w:bCs/>
                <w:i/>
                <w:sz w:val="18"/>
                <w:szCs w:val="18"/>
              </w:rPr>
              <w:t>T</w:t>
            </w:r>
            <w:r w:rsidRPr="006F7E3E">
              <w:rPr>
                <w:b/>
                <w:bCs/>
                <w:i/>
                <w:sz w:val="18"/>
                <w:szCs w:val="18"/>
                <w:vertAlign w:val="subscript"/>
              </w:rPr>
              <w:t>m</w:t>
            </w:r>
            <w:r w:rsidRPr="006F7E3E">
              <w:rPr>
                <w:b/>
                <w:bCs/>
                <w:sz w:val="18"/>
                <w:szCs w:val="18"/>
              </w:rPr>
              <w:t xml:space="preserve"> </w:t>
            </w:r>
            <w:r w:rsidRPr="006F7E3E">
              <w:rPr>
                <w:b/>
                <w:bCs/>
                <w:sz w:val="18"/>
                <w:szCs w:val="18"/>
                <w:vertAlign w:val="superscript"/>
              </w:rPr>
              <w:t>4</w:t>
            </w:r>
          </w:p>
          <w:p w14:paraId="4200B8A7" w14:textId="77777777" w:rsidR="00B42BA3" w:rsidRPr="006F7E3E" w:rsidRDefault="00B42BA3" w:rsidP="00BF2BA6">
            <w:pPr>
              <w:pStyle w:val="MDPI42tablebody"/>
              <w:autoSpaceDE w:val="0"/>
              <w:autoSpaceDN w:val="0"/>
              <w:spacing w:line="240" w:lineRule="auto"/>
              <w:rPr>
                <w:b/>
                <w:bCs/>
                <w:sz w:val="18"/>
                <w:szCs w:val="18"/>
              </w:rPr>
            </w:pPr>
            <w:r w:rsidRPr="006F7E3E">
              <w:rPr>
                <w:b/>
                <w:bCs/>
                <w:sz w:val="18"/>
                <w:szCs w:val="18"/>
              </w:rPr>
              <w:t>(°C)</w:t>
            </w:r>
          </w:p>
        </w:tc>
        <w:tc>
          <w:tcPr>
            <w:tcW w:w="710" w:type="dxa"/>
            <w:tcBorders>
              <w:top w:val="single" w:sz="8" w:space="0" w:color="auto"/>
              <w:bottom w:val="single" w:sz="4" w:space="0" w:color="auto"/>
            </w:tcBorders>
            <w:shd w:val="clear" w:color="auto" w:fill="auto"/>
            <w:vAlign w:val="center"/>
          </w:tcPr>
          <w:p w14:paraId="30B8AEEB" w14:textId="77777777" w:rsidR="00B42BA3" w:rsidRPr="006F7E3E" w:rsidRDefault="00B42BA3" w:rsidP="00BF2BA6">
            <w:pPr>
              <w:pStyle w:val="MDPI42tablebody"/>
              <w:autoSpaceDE w:val="0"/>
              <w:autoSpaceDN w:val="0"/>
              <w:spacing w:line="240" w:lineRule="auto"/>
              <w:rPr>
                <w:b/>
                <w:bCs/>
                <w:sz w:val="18"/>
                <w:szCs w:val="18"/>
              </w:rPr>
            </w:pPr>
            <w:r w:rsidRPr="006F7E3E">
              <w:rPr>
                <w:b/>
                <w:bCs/>
                <w:sz w:val="18"/>
                <w:szCs w:val="18"/>
              </w:rPr>
              <w:t></w:t>
            </w:r>
            <w:r w:rsidRPr="006F7E3E">
              <w:rPr>
                <w:b/>
                <w:bCs/>
                <w:i/>
                <w:sz w:val="18"/>
                <w:szCs w:val="18"/>
              </w:rPr>
              <w:t>H</w:t>
            </w:r>
            <w:r w:rsidRPr="006F7E3E">
              <w:rPr>
                <w:b/>
                <w:bCs/>
                <w:i/>
                <w:sz w:val="18"/>
                <w:szCs w:val="18"/>
                <w:vertAlign w:val="subscript"/>
              </w:rPr>
              <w:t>m</w:t>
            </w:r>
          </w:p>
          <w:p w14:paraId="381B3574" w14:textId="77777777" w:rsidR="00B42BA3" w:rsidRPr="006F7E3E" w:rsidRDefault="00B42BA3" w:rsidP="00BF2BA6">
            <w:pPr>
              <w:pStyle w:val="MDPI42tablebody"/>
              <w:autoSpaceDE w:val="0"/>
              <w:autoSpaceDN w:val="0"/>
              <w:spacing w:line="240" w:lineRule="auto"/>
              <w:rPr>
                <w:b/>
                <w:bCs/>
                <w:sz w:val="18"/>
                <w:szCs w:val="18"/>
              </w:rPr>
            </w:pPr>
            <w:r w:rsidRPr="006F7E3E">
              <w:rPr>
                <w:b/>
                <w:bCs/>
                <w:sz w:val="18"/>
                <w:szCs w:val="18"/>
              </w:rPr>
              <w:t>(J.g</w:t>
            </w:r>
            <w:r w:rsidRPr="006F7E3E">
              <w:rPr>
                <w:b/>
                <w:bCs/>
                <w:sz w:val="18"/>
                <w:szCs w:val="18"/>
                <w:vertAlign w:val="superscript"/>
              </w:rPr>
              <w:t>−1</w:t>
            </w:r>
            <w:r w:rsidRPr="006F7E3E">
              <w:rPr>
                <w:b/>
                <w:bCs/>
                <w:sz w:val="18"/>
                <w:szCs w:val="18"/>
              </w:rPr>
              <w:t>)</w:t>
            </w:r>
          </w:p>
        </w:tc>
      </w:tr>
      <w:tr w:rsidR="00B42BA3" w:rsidRPr="006F7E3E" w:rsidDel="00201D53" w14:paraId="26ADBE4C" w14:textId="77777777" w:rsidTr="00BF2BA6">
        <w:trPr>
          <w:jc w:val="center"/>
        </w:trPr>
        <w:tc>
          <w:tcPr>
            <w:tcW w:w="709" w:type="dxa"/>
            <w:tcBorders>
              <w:top w:val="single" w:sz="4" w:space="0" w:color="auto"/>
            </w:tcBorders>
            <w:shd w:val="clear" w:color="auto" w:fill="auto"/>
            <w:vAlign w:val="center"/>
          </w:tcPr>
          <w:p w14:paraId="1EEC4C30" w14:textId="77777777" w:rsidR="00B42BA3" w:rsidRPr="006F7E3E" w:rsidRDefault="00B42BA3" w:rsidP="00BF2BA6">
            <w:pPr>
              <w:pStyle w:val="MDPI42tablebody"/>
              <w:autoSpaceDE w:val="0"/>
              <w:autoSpaceDN w:val="0"/>
              <w:spacing w:line="240" w:lineRule="auto"/>
              <w:rPr>
                <w:rFonts w:cs="Arial"/>
                <w:sz w:val="18"/>
                <w:szCs w:val="18"/>
              </w:rPr>
            </w:pPr>
            <w:r w:rsidRPr="006F7E3E">
              <w:rPr>
                <w:sz w:val="18"/>
                <w:szCs w:val="18"/>
              </w:rPr>
              <w:t>1</w:t>
            </w:r>
          </w:p>
        </w:tc>
        <w:tc>
          <w:tcPr>
            <w:tcW w:w="992" w:type="dxa"/>
            <w:tcBorders>
              <w:top w:val="single" w:sz="4" w:space="0" w:color="auto"/>
            </w:tcBorders>
            <w:shd w:val="clear" w:color="auto" w:fill="auto"/>
            <w:vAlign w:val="center"/>
          </w:tcPr>
          <w:p w14:paraId="6A338F99" w14:textId="77777777" w:rsidR="00B42BA3" w:rsidRPr="006F7E3E" w:rsidRDefault="00B42BA3" w:rsidP="00BF2BA6">
            <w:pPr>
              <w:pStyle w:val="MDPI42tablebody"/>
              <w:autoSpaceDE w:val="0"/>
              <w:autoSpaceDN w:val="0"/>
              <w:spacing w:line="240" w:lineRule="auto"/>
              <w:rPr>
                <w:rFonts w:cs="Arial"/>
                <w:sz w:val="18"/>
                <w:szCs w:val="18"/>
              </w:rPr>
            </w:pPr>
            <w:r w:rsidRPr="006F7E3E">
              <w:rPr>
                <w:sz w:val="18"/>
                <w:szCs w:val="18"/>
              </w:rPr>
              <w:t>0.08</w:t>
            </w:r>
          </w:p>
        </w:tc>
        <w:tc>
          <w:tcPr>
            <w:tcW w:w="1134" w:type="dxa"/>
            <w:tcBorders>
              <w:top w:val="single" w:sz="4" w:space="0" w:color="auto"/>
            </w:tcBorders>
            <w:shd w:val="clear" w:color="auto" w:fill="auto"/>
            <w:vAlign w:val="center"/>
          </w:tcPr>
          <w:p w14:paraId="5718C955" w14:textId="77777777" w:rsidR="00B42BA3" w:rsidRPr="006F7E3E" w:rsidRDefault="00B42BA3" w:rsidP="00BF2BA6">
            <w:pPr>
              <w:pStyle w:val="MDPI42tablebody"/>
              <w:autoSpaceDE w:val="0"/>
              <w:autoSpaceDN w:val="0"/>
              <w:spacing w:line="240" w:lineRule="auto"/>
              <w:rPr>
                <w:rFonts w:cs="Arial"/>
                <w:sz w:val="18"/>
                <w:szCs w:val="18"/>
              </w:rPr>
            </w:pPr>
            <w:r w:rsidRPr="006F7E3E">
              <w:rPr>
                <w:sz w:val="18"/>
                <w:szCs w:val="18"/>
              </w:rPr>
              <w:t>100:1:0.1</w:t>
            </w:r>
          </w:p>
        </w:tc>
        <w:tc>
          <w:tcPr>
            <w:tcW w:w="709" w:type="dxa"/>
            <w:tcBorders>
              <w:top w:val="single" w:sz="4" w:space="0" w:color="auto"/>
            </w:tcBorders>
            <w:shd w:val="clear" w:color="auto" w:fill="auto"/>
            <w:vAlign w:val="center"/>
          </w:tcPr>
          <w:p w14:paraId="6CF0992B" w14:textId="77777777" w:rsidR="00B42BA3" w:rsidRPr="006F7E3E" w:rsidRDefault="00B42BA3" w:rsidP="00BF2BA6">
            <w:pPr>
              <w:pStyle w:val="MDPI42tablebody"/>
              <w:autoSpaceDE w:val="0"/>
              <w:autoSpaceDN w:val="0"/>
              <w:spacing w:line="240" w:lineRule="auto"/>
              <w:rPr>
                <w:rFonts w:cs="Arial"/>
                <w:sz w:val="18"/>
                <w:szCs w:val="18"/>
              </w:rPr>
            </w:pPr>
            <w:r w:rsidRPr="006F7E3E">
              <w:rPr>
                <w:sz w:val="18"/>
                <w:szCs w:val="18"/>
              </w:rPr>
              <w:t>50</w:t>
            </w:r>
          </w:p>
        </w:tc>
        <w:tc>
          <w:tcPr>
            <w:tcW w:w="850" w:type="dxa"/>
            <w:tcBorders>
              <w:top w:val="single" w:sz="4" w:space="0" w:color="auto"/>
            </w:tcBorders>
            <w:shd w:val="clear" w:color="auto" w:fill="auto"/>
            <w:vAlign w:val="center"/>
          </w:tcPr>
          <w:p w14:paraId="6530F7E9" w14:textId="77777777" w:rsidR="00B42BA3" w:rsidRPr="006F7E3E" w:rsidRDefault="00B42BA3" w:rsidP="00BF2BA6">
            <w:pPr>
              <w:pStyle w:val="MDPI42tablebody"/>
              <w:autoSpaceDE w:val="0"/>
              <w:autoSpaceDN w:val="0"/>
              <w:spacing w:line="240" w:lineRule="auto"/>
              <w:rPr>
                <w:rFonts w:cs="Arial"/>
                <w:sz w:val="18"/>
                <w:szCs w:val="18"/>
              </w:rPr>
            </w:pPr>
            <w:r w:rsidRPr="006F7E3E">
              <w:rPr>
                <w:sz w:val="18"/>
                <w:szCs w:val="18"/>
              </w:rPr>
              <w:t>17</w:t>
            </w:r>
          </w:p>
        </w:tc>
        <w:tc>
          <w:tcPr>
            <w:tcW w:w="992" w:type="dxa"/>
            <w:tcBorders>
              <w:top w:val="single" w:sz="4" w:space="0" w:color="auto"/>
            </w:tcBorders>
            <w:shd w:val="clear" w:color="auto" w:fill="auto"/>
            <w:vAlign w:val="center"/>
          </w:tcPr>
          <w:p w14:paraId="22A39810" w14:textId="77777777" w:rsidR="00B42BA3" w:rsidRPr="006F7E3E" w:rsidRDefault="00B42BA3" w:rsidP="00BF2BA6">
            <w:pPr>
              <w:pStyle w:val="MDPI42tablebody"/>
              <w:autoSpaceDE w:val="0"/>
              <w:autoSpaceDN w:val="0"/>
              <w:spacing w:line="240" w:lineRule="auto"/>
              <w:rPr>
                <w:rFonts w:cs="Arial"/>
                <w:sz w:val="18"/>
                <w:szCs w:val="18"/>
              </w:rPr>
            </w:pPr>
            <w:r w:rsidRPr="006F7E3E">
              <w:rPr>
                <w:sz w:val="18"/>
                <w:szCs w:val="18"/>
              </w:rPr>
              <w:t>2600</w:t>
            </w:r>
          </w:p>
        </w:tc>
        <w:tc>
          <w:tcPr>
            <w:tcW w:w="640" w:type="dxa"/>
            <w:tcBorders>
              <w:top w:val="single" w:sz="4" w:space="0" w:color="auto"/>
            </w:tcBorders>
            <w:shd w:val="clear" w:color="auto" w:fill="auto"/>
            <w:vAlign w:val="center"/>
          </w:tcPr>
          <w:p w14:paraId="790D5F4C" w14:textId="77777777" w:rsidR="00B42BA3" w:rsidRPr="006F7E3E" w:rsidRDefault="00B42BA3" w:rsidP="00BF2BA6">
            <w:pPr>
              <w:pStyle w:val="MDPI42tablebody"/>
              <w:autoSpaceDE w:val="0"/>
              <w:autoSpaceDN w:val="0"/>
              <w:spacing w:line="240" w:lineRule="auto"/>
              <w:rPr>
                <w:rFonts w:cs="Arial"/>
                <w:sz w:val="18"/>
                <w:szCs w:val="18"/>
              </w:rPr>
            </w:pPr>
            <w:r w:rsidRPr="006F7E3E">
              <w:rPr>
                <w:sz w:val="18"/>
                <w:szCs w:val="18"/>
              </w:rPr>
              <w:t>1.09</w:t>
            </w:r>
          </w:p>
        </w:tc>
        <w:tc>
          <w:tcPr>
            <w:tcW w:w="636" w:type="dxa"/>
            <w:tcBorders>
              <w:top w:val="single" w:sz="4" w:space="0" w:color="auto"/>
            </w:tcBorders>
            <w:shd w:val="clear" w:color="auto" w:fill="auto"/>
            <w:vAlign w:val="center"/>
          </w:tcPr>
          <w:p w14:paraId="110DDD60" w14:textId="77777777" w:rsidR="00B42BA3" w:rsidRPr="006F7E3E" w:rsidRDefault="00B42BA3" w:rsidP="00BF2BA6">
            <w:pPr>
              <w:pStyle w:val="MDPI42tablebody"/>
              <w:autoSpaceDE w:val="0"/>
              <w:autoSpaceDN w:val="0"/>
              <w:spacing w:line="240" w:lineRule="auto"/>
              <w:rPr>
                <w:rFonts w:cs="Arial"/>
                <w:sz w:val="18"/>
                <w:szCs w:val="18"/>
              </w:rPr>
            </w:pPr>
            <w:r w:rsidRPr="006F7E3E">
              <w:rPr>
                <w:sz w:val="18"/>
                <w:szCs w:val="18"/>
              </w:rPr>
              <w:t>0.84</w:t>
            </w:r>
          </w:p>
        </w:tc>
        <w:tc>
          <w:tcPr>
            <w:tcW w:w="708" w:type="dxa"/>
            <w:tcBorders>
              <w:top w:val="single" w:sz="4" w:space="0" w:color="auto"/>
            </w:tcBorders>
            <w:shd w:val="clear" w:color="auto" w:fill="auto"/>
            <w:vAlign w:val="center"/>
          </w:tcPr>
          <w:p w14:paraId="5BF25B9A" w14:textId="77777777" w:rsidR="00B42BA3" w:rsidRPr="006F7E3E" w:rsidDel="00201D53" w:rsidRDefault="00B42BA3" w:rsidP="00BF2BA6">
            <w:pPr>
              <w:pStyle w:val="MDPI42tablebody"/>
              <w:autoSpaceDE w:val="0"/>
              <w:autoSpaceDN w:val="0"/>
              <w:spacing w:line="240" w:lineRule="auto"/>
              <w:rPr>
                <w:rFonts w:cs="Arial"/>
                <w:sz w:val="18"/>
                <w:szCs w:val="18"/>
              </w:rPr>
            </w:pPr>
            <w:r w:rsidRPr="006F7E3E">
              <w:rPr>
                <w:sz w:val="18"/>
                <w:szCs w:val="18"/>
              </w:rPr>
              <w:t>44</w:t>
            </w:r>
          </w:p>
        </w:tc>
        <w:tc>
          <w:tcPr>
            <w:tcW w:w="708" w:type="dxa"/>
            <w:tcBorders>
              <w:top w:val="single" w:sz="4" w:space="0" w:color="auto"/>
            </w:tcBorders>
            <w:shd w:val="clear" w:color="auto" w:fill="auto"/>
            <w:vAlign w:val="center"/>
          </w:tcPr>
          <w:p w14:paraId="7BB117D5" w14:textId="77777777" w:rsidR="00B42BA3" w:rsidRPr="006F7E3E" w:rsidDel="00201D53" w:rsidRDefault="00B42BA3" w:rsidP="00BF2BA6">
            <w:pPr>
              <w:pStyle w:val="MDPI42tablebody"/>
              <w:autoSpaceDE w:val="0"/>
              <w:autoSpaceDN w:val="0"/>
              <w:spacing w:line="240" w:lineRule="auto"/>
              <w:rPr>
                <w:rFonts w:cs="Arial"/>
                <w:sz w:val="18"/>
                <w:szCs w:val="18"/>
              </w:rPr>
            </w:pPr>
            <w:r w:rsidRPr="006F7E3E">
              <w:rPr>
                <w:sz w:val="18"/>
                <w:szCs w:val="18"/>
              </w:rPr>
              <w:t>157</w:t>
            </w:r>
          </w:p>
        </w:tc>
        <w:tc>
          <w:tcPr>
            <w:tcW w:w="710" w:type="dxa"/>
            <w:tcBorders>
              <w:top w:val="single" w:sz="4" w:space="0" w:color="auto"/>
            </w:tcBorders>
            <w:shd w:val="clear" w:color="auto" w:fill="auto"/>
            <w:vAlign w:val="center"/>
          </w:tcPr>
          <w:p w14:paraId="53EC2E01" w14:textId="77777777" w:rsidR="00B42BA3" w:rsidRPr="006F7E3E" w:rsidDel="00201D53" w:rsidRDefault="00B42BA3" w:rsidP="00BF2BA6">
            <w:pPr>
              <w:pStyle w:val="MDPI42tablebody"/>
              <w:autoSpaceDE w:val="0"/>
              <w:autoSpaceDN w:val="0"/>
              <w:spacing w:line="240" w:lineRule="auto"/>
              <w:rPr>
                <w:rFonts w:cs="Arial"/>
                <w:sz w:val="18"/>
                <w:szCs w:val="18"/>
              </w:rPr>
            </w:pPr>
            <w:r w:rsidRPr="006F7E3E">
              <w:rPr>
                <w:sz w:val="18"/>
                <w:szCs w:val="18"/>
              </w:rPr>
              <w:t>18.9</w:t>
            </w:r>
          </w:p>
        </w:tc>
      </w:tr>
      <w:tr w:rsidR="00B42BA3" w:rsidRPr="006F7E3E" w:rsidDel="00201D53" w14:paraId="17D57C7B" w14:textId="77777777" w:rsidTr="00BF2BA6">
        <w:trPr>
          <w:jc w:val="center"/>
        </w:trPr>
        <w:tc>
          <w:tcPr>
            <w:tcW w:w="709" w:type="dxa"/>
            <w:shd w:val="clear" w:color="auto" w:fill="auto"/>
            <w:vAlign w:val="center"/>
          </w:tcPr>
          <w:p w14:paraId="726A2C98" w14:textId="77777777" w:rsidR="00B42BA3" w:rsidRPr="006F7E3E" w:rsidRDefault="00B42BA3" w:rsidP="00BF2BA6">
            <w:pPr>
              <w:pStyle w:val="MDPI42tablebody"/>
              <w:autoSpaceDE w:val="0"/>
              <w:autoSpaceDN w:val="0"/>
              <w:spacing w:line="240" w:lineRule="auto"/>
              <w:rPr>
                <w:rFonts w:cs="Arial"/>
                <w:sz w:val="18"/>
                <w:szCs w:val="18"/>
              </w:rPr>
            </w:pPr>
            <w:r w:rsidRPr="006F7E3E">
              <w:rPr>
                <w:sz w:val="18"/>
                <w:szCs w:val="18"/>
              </w:rPr>
              <w:t>2</w:t>
            </w:r>
          </w:p>
        </w:tc>
        <w:tc>
          <w:tcPr>
            <w:tcW w:w="992" w:type="dxa"/>
            <w:shd w:val="clear" w:color="auto" w:fill="auto"/>
            <w:vAlign w:val="center"/>
          </w:tcPr>
          <w:p w14:paraId="6E3DABE4" w14:textId="77777777" w:rsidR="00B42BA3" w:rsidRPr="006F7E3E" w:rsidRDefault="00B42BA3" w:rsidP="00BF2BA6">
            <w:pPr>
              <w:pStyle w:val="MDPI42tablebody"/>
              <w:autoSpaceDE w:val="0"/>
              <w:autoSpaceDN w:val="0"/>
              <w:spacing w:line="240" w:lineRule="auto"/>
              <w:rPr>
                <w:rFonts w:cs="Arial"/>
                <w:sz w:val="18"/>
                <w:szCs w:val="18"/>
              </w:rPr>
            </w:pPr>
            <w:r w:rsidRPr="006F7E3E">
              <w:rPr>
                <w:sz w:val="18"/>
                <w:szCs w:val="18"/>
              </w:rPr>
              <w:t>0.08</w:t>
            </w:r>
          </w:p>
        </w:tc>
        <w:tc>
          <w:tcPr>
            <w:tcW w:w="1134" w:type="dxa"/>
            <w:shd w:val="clear" w:color="auto" w:fill="auto"/>
            <w:vAlign w:val="center"/>
          </w:tcPr>
          <w:p w14:paraId="4EF84097" w14:textId="77777777" w:rsidR="00B42BA3" w:rsidRPr="006F7E3E" w:rsidRDefault="00B42BA3" w:rsidP="00BF2BA6">
            <w:pPr>
              <w:pStyle w:val="MDPI42tablebody"/>
              <w:autoSpaceDE w:val="0"/>
              <w:autoSpaceDN w:val="0"/>
              <w:spacing w:line="240" w:lineRule="auto"/>
              <w:rPr>
                <w:rFonts w:cs="Arial"/>
                <w:sz w:val="18"/>
                <w:szCs w:val="18"/>
              </w:rPr>
            </w:pPr>
            <w:r w:rsidRPr="006F7E3E">
              <w:rPr>
                <w:sz w:val="18"/>
                <w:szCs w:val="18"/>
              </w:rPr>
              <w:t>100:1:0.1</w:t>
            </w:r>
          </w:p>
        </w:tc>
        <w:tc>
          <w:tcPr>
            <w:tcW w:w="709" w:type="dxa"/>
            <w:shd w:val="clear" w:color="auto" w:fill="auto"/>
            <w:vAlign w:val="center"/>
          </w:tcPr>
          <w:p w14:paraId="24D2B6F3" w14:textId="77777777" w:rsidR="00B42BA3" w:rsidRPr="006F7E3E" w:rsidRDefault="00B42BA3" w:rsidP="00BF2BA6">
            <w:pPr>
              <w:pStyle w:val="MDPI42tablebody"/>
              <w:autoSpaceDE w:val="0"/>
              <w:autoSpaceDN w:val="0"/>
              <w:spacing w:line="240" w:lineRule="auto"/>
              <w:rPr>
                <w:rFonts w:cs="Arial"/>
                <w:sz w:val="18"/>
                <w:szCs w:val="18"/>
              </w:rPr>
            </w:pPr>
            <w:r w:rsidRPr="006F7E3E">
              <w:rPr>
                <w:sz w:val="18"/>
                <w:szCs w:val="18"/>
              </w:rPr>
              <w:t>120</w:t>
            </w:r>
          </w:p>
        </w:tc>
        <w:tc>
          <w:tcPr>
            <w:tcW w:w="850" w:type="dxa"/>
            <w:shd w:val="clear" w:color="auto" w:fill="auto"/>
            <w:vAlign w:val="center"/>
          </w:tcPr>
          <w:p w14:paraId="42C156CD" w14:textId="77777777" w:rsidR="00B42BA3" w:rsidRPr="006F7E3E" w:rsidRDefault="00B42BA3" w:rsidP="00BF2BA6">
            <w:pPr>
              <w:pStyle w:val="MDPI42tablebody"/>
              <w:autoSpaceDE w:val="0"/>
              <w:autoSpaceDN w:val="0"/>
              <w:spacing w:line="240" w:lineRule="auto"/>
              <w:rPr>
                <w:rFonts w:cs="Arial"/>
                <w:sz w:val="18"/>
                <w:szCs w:val="18"/>
              </w:rPr>
            </w:pPr>
            <w:r w:rsidRPr="006F7E3E">
              <w:rPr>
                <w:sz w:val="18"/>
                <w:szCs w:val="18"/>
              </w:rPr>
              <w:t>30</w:t>
            </w:r>
          </w:p>
        </w:tc>
        <w:tc>
          <w:tcPr>
            <w:tcW w:w="992" w:type="dxa"/>
            <w:shd w:val="clear" w:color="auto" w:fill="auto"/>
            <w:vAlign w:val="center"/>
          </w:tcPr>
          <w:p w14:paraId="0E2BDE1A" w14:textId="77777777" w:rsidR="00B42BA3" w:rsidRPr="006F7E3E" w:rsidRDefault="00B42BA3" w:rsidP="00BF2BA6">
            <w:pPr>
              <w:pStyle w:val="MDPI42tablebody"/>
              <w:autoSpaceDE w:val="0"/>
              <w:autoSpaceDN w:val="0"/>
              <w:spacing w:line="240" w:lineRule="auto"/>
              <w:rPr>
                <w:rFonts w:cs="Arial"/>
                <w:sz w:val="18"/>
                <w:szCs w:val="18"/>
              </w:rPr>
            </w:pPr>
            <w:r w:rsidRPr="006F7E3E">
              <w:rPr>
                <w:sz w:val="18"/>
                <w:szCs w:val="18"/>
              </w:rPr>
              <w:t>4200</w:t>
            </w:r>
          </w:p>
        </w:tc>
        <w:tc>
          <w:tcPr>
            <w:tcW w:w="640" w:type="dxa"/>
            <w:shd w:val="clear" w:color="auto" w:fill="auto"/>
            <w:vAlign w:val="center"/>
          </w:tcPr>
          <w:p w14:paraId="43F446F0" w14:textId="77777777" w:rsidR="00B42BA3" w:rsidRPr="006F7E3E" w:rsidRDefault="00B42BA3" w:rsidP="00BF2BA6">
            <w:pPr>
              <w:pStyle w:val="MDPI42tablebody"/>
              <w:autoSpaceDE w:val="0"/>
              <w:autoSpaceDN w:val="0"/>
              <w:spacing w:line="240" w:lineRule="auto"/>
              <w:rPr>
                <w:rFonts w:cs="Arial"/>
                <w:sz w:val="18"/>
                <w:szCs w:val="18"/>
              </w:rPr>
            </w:pPr>
            <w:r w:rsidRPr="006F7E3E">
              <w:rPr>
                <w:sz w:val="18"/>
                <w:szCs w:val="18"/>
              </w:rPr>
              <w:t>1.09</w:t>
            </w:r>
          </w:p>
        </w:tc>
        <w:tc>
          <w:tcPr>
            <w:tcW w:w="636" w:type="dxa"/>
            <w:shd w:val="clear" w:color="auto" w:fill="auto"/>
            <w:vAlign w:val="center"/>
          </w:tcPr>
          <w:p w14:paraId="0D524792" w14:textId="77777777" w:rsidR="00B42BA3" w:rsidRPr="006F7E3E" w:rsidRDefault="00B42BA3" w:rsidP="00BF2BA6">
            <w:pPr>
              <w:pStyle w:val="MDPI42tablebody"/>
              <w:autoSpaceDE w:val="0"/>
              <w:autoSpaceDN w:val="0"/>
              <w:spacing w:line="240" w:lineRule="auto"/>
              <w:rPr>
                <w:sz w:val="18"/>
                <w:szCs w:val="18"/>
              </w:rPr>
            </w:pPr>
            <w:r w:rsidRPr="006F7E3E">
              <w:rPr>
                <w:sz w:val="18"/>
                <w:szCs w:val="18"/>
              </w:rPr>
              <w:t>0.80</w:t>
            </w:r>
          </w:p>
        </w:tc>
        <w:tc>
          <w:tcPr>
            <w:tcW w:w="708" w:type="dxa"/>
            <w:shd w:val="clear" w:color="auto" w:fill="auto"/>
            <w:vAlign w:val="center"/>
          </w:tcPr>
          <w:p w14:paraId="28907279" w14:textId="77777777" w:rsidR="00B42BA3" w:rsidRPr="006F7E3E" w:rsidDel="00201D53" w:rsidRDefault="00B42BA3" w:rsidP="00BF2BA6">
            <w:pPr>
              <w:pStyle w:val="MDPI42tablebody"/>
              <w:autoSpaceDE w:val="0"/>
              <w:autoSpaceDN w:val="0"/>
              <w:spacing w:line="240" w:lineRule="auto"/>
              <w:rPr>
                <w:rFonts w:cs="Arial"/>
                <w:sz w:val="18"/>
                <w:szCs w:val="18"/>
              </w:rPr>
            </w:pPr>
            <w:r w:rsidRPr="006F7E3E">
              <w:rPr>
                <w:sz w:val="18"/>
                <w:szCs w:val="18"/>
              </w:rPr>
              <w:t>48</w:t>
            </w:r>
          </w:p>
        </w:tc>
        <w:tc>
          <w:tcPr>
            <w:tcW w:w="708" w:type="dxa"/>
            <w:shd w:val="clear" w:color="auto" w:fill="auto"/>
            <w:vAlign w:val="center"/>
          </w:tcPr>
          <w:p w14:paraId="48845BE8" w14:textId="77777777" w:rsidR="00B42BA3" w:rsidRPr="006F7E3E" w:rsidDel="00201D53" w:rsidRDefault="00B42BA3" w:rsidP="00BF2BA6">
            <w:pPr>
              <w:pStyle w:val="MDPI42tablebody"/>
              <w:autoSpaceDE w:val="0"/>
              <w:autoSpaceDN w:val="0"/>
              <w:spacing w:line="240" w:lineRule="auto"/>
              <w:rPr>
                <w:rFonts w:cs="Arial"/>
                <w:sz w:val="18"/>
                <w:szCs w:val="18"/>
              </w:rPr>
            </w:pPr>
            <w:r w:rsidRPr="006F7E3E">
              <w:rPr>
                <w:sz w:val="18"/>
                <w:szCs w:val="18"/>
              </w:rPr>
              <w:t>155</w:t>
            </w:r>
          </w:p>
        </w:tc>
        <w:tc>
          <w:tcPr>
            <w:tcW w:w="710" w:type="dxa"/>
            <w:shd w:val="clear" w:color="auto" w:fill="auto"/>
            <w:vAlign w:val="center"/>
          </w:tcPr>
          <w:p w14:paraId="18C6A5DB" w14:textId="77777777" w:rsidR="00B42BA3" w:rsidRPr="006F7E3E" w:rsidDel="00201D53" w:rsidRDefault="00B42BA3" w:rsidP="00BF2BA6">
            <w:pPr>
              <w:pStyle w:val="MDPI42tablebody"/>
              <w:autoSpaceDE w:val="0"/>
              <w:autoSpaceDN w:val="0"/>
              <w:spacing w:line="240" w:lineRule="auto"/>
              <w:rPr>
                <w:rFonts w:cs="Arial"/>
                <w:sz w:val="18"/>
                <w:szCs w:val="18"/>
              </w:rPr>
            </w:pPr>
            <w:r w:rsidRPr="006F7E3E">
              <w:rPr>
                <w:sz w:val="18"/>
                <w:szCs w:val="18"/>
              </w:rPr>
              <w:t>16.0</w:t>
            </w:r>
          </w:p>
        </w:tc>
      </w:tr>
      <w:tr w:rsidR="00B42BA3" w:rsidRPr="006F7E3E" w14:paraId="4A1992C4" w14:textId="77777777" w:rsidTr="00BF2BA6">
        <w:trPr>
          <w:jc w:val="center"/>
        </w:trPr>
        <w:tc>
          <w:tcPr>
            <w:tcW w:w="709" w:type="dxa"/>
            <w:shd w:val="clear" w:color="auto" w:fill="auto"/>
            <w:vAlign w:val="center"/>
          </w:tcPr>
          <w:p w14:paraId="74153DD1" w14:textId="77777777" w:rsidR="00B42BA3" w:rsidRPr="006F7E3E" w:rsidRDefault="00B42BA3" w:rsidP="00BF2BA6">
            <w:pPr>
              <w:pStyle w:val="MDPI42tablebody"/>
              <w:autoSpaceDE w:val="0"/>
              <w:autoSpaceDN w:val="0"/>
              <w:spacing w:line="240" w:lineRule="auto"/>
              <w:rPr>
                <w:sz w:val="18"/>
                <w:szCs w:val="18"/>
              </w:rPr>
            </w:pPr>
            <w:r w:rsidRPr="006F7E3E">
              <w:rPr>
                <w:sz w:val="18"/>
                <w:szCs w:val="18"/>
              </w:rPr>
              <w:t>3</w:t>
            </w:r>
          </w:p>
        </w:tc>
        <w:tc>
          <w:tcPr>
            <w:tcW w:w="992" w:type="dxa"/>
            <w:shd w:val="clear" w:color="auto" w:fill="auto"/>
            <w:vAlign w:val="center"/>
          </w:tcPr>
          <w:p w14:paraId="6DF17189" w14:textId="77777777" w:rsidR="00B42BA3" w:rsidRPr="006F7E3E" w:rsidRDefault="00B42BA3" w:rsidP="00BF2BA6">
            <w:pPr>
              <w:pStyle w:val="MDPI42tablebody"/>
              <w:autoSpaceDE w:val="0"/>
              <w:autoSpaceDN w:val="0"/>
              <w:spacing w:line="240" w:lineRule="auto"/>
              <w:rPr>
                <w:sz w:val="18"/>
                <w:szCs w:val="18"/>
              </w:rPr>
            </w:pPr>
            <w:r w:rsidRPr="006F7E3E">
              <w:rPr>
                <w:sz w:val="18"/>
                <w:szCs w:val="18"/>
              </w:rPr>
              <w:t>0.22</w:t>
            </w:r>
          </w:p>
        </w:tc>
        <w:tc>
          <w:tcPr>
            <w:tcW w:w="1134" w:type="dxa"/>
            <w:shd w:val="clear" w:color="auto" w:fill="auto"/>
            <w:vAlign w:val="center"/>
          </w:tcPr>
          <w:p w14:paraId="629D8349" w14:textId="77777777" w:rsidR="00B42BA3" w:rsidRPr="006F7E3E" w:rsidRDefault="00B42BA3" w:rsidP="00BF2BA6">
            <w:pPr>
              <w:pStyle w:val="MDPI42tablebody"/>
              <w:autoSpaceDE w:val="0"/>
              <w:autoSpaceDN w:val="0"/>
              <w:spacing w:line="240" w:lineRule="auto"/>
              <w:rPr>
                <w:sz w:val="18"/>
                <w:szCs w:val="18"/>
              </w:rPr>
            </w:pPr>
            <w:r w:rsidRPr="006F7E3E">
              <w:rPr>
                <w:sz w:val="18"/>
                <w:szCs w:val="18"/>
              </w:rPr>
              <w:t>100:1:1</w:t>
            </w:r>
          </w:p>
        </w:tc>
        <w:tc>
          <w:tcPr>
            <w:tcW w:w="709" w:type="dxa"/>
            <w:shd w:val="clear" w:color="auto" w:fill="auto"/>
            <w:vAlign w:val="center"/>
          </w:tcPr>
          <w:p w14:paraId="4FC284B9" w14:textId="77777777" w:rsidR="00B42BA3" w:rsidRPr="006F7E3E" w:rsidRDefault="00B42BA3" w:rsidP="00BF2BA6">
            <w:pPr>
              <w:pStyle w:val="MDPI42tablebody"/>
              <w:autoSpaceDE w:val="0"/>
              <w:autoSpaceDN w:val="0"/>
              <w:spacing w:line="240" w:lineRule="auto"/>
              <w:rPr>
                <w:sz w:val="18"/>
                <w:szCs w:val="18"/>
              </w:rPr>
            </w:pPr>
            <w:r w:rsidRPr="006F7E3E">
              <w:rPr>
                <w:sz w:val="18"/>
                <w:szCs w:val="18"/>
              </w:rPr>
              <w:t>20</w:t>
            </w:r>
          </w:p>
        </w:tc>
        <w:tc>
          <w:tcPr>
            <w:tcW w:w="850" w:type="dxa"/>
            <w:shd w:val="clear" w:color="auto" w:fill="auto"/>
            <w:vAlign w:val="center"/>
          </w:tcPr>
          <w:p w14:paraId="746A9B0D" w14:textId="77777777" w:rsidR="00B42BA3" w:rsidRPr="006F7E3E" w:rsidRDefault="00B42BA3" w:rsidP="00BF2BA6">
            <w:pPr>
              <w:pStyle w:val="MDPI42tablebody"/>
              <w:autoSpaceDE w:val="0"/>
              <w:autoSpaceDN w:val="0"/>
              <w:spacing w:line="240" w:lineRule="auto"/>
              <w:rPr>
                <w:sz w:val="18"/>
                <w:szCs w:val="18"/>
              </w:rPr>
            </w:pPr>
            <w:r w:rsidRPr="006F7E3E">
              <w:rPr>
                <w:sz w:val="18"/>
                <w:szCs w:val="18"/>
              </w:rPr>
              <w:t>42</w:t>
            </w:r>
          </w:p>
        </w:tc>
        <w:tc>
          <w:tcPr>
            <w:tcW w:w="992" w:type="dxa"/>
            <w:shd w:val="clear" w:color="auto" w:fill="auto"/>
            <w:vAlign w:val="center"/>
          </w:tcPr>
          <w:p w14:paraId="38CB2681" w14:textId="77777777" w:rsidR="00B42BA3" w:rsidRPr="006F7E3E" w:rsidRDefault="00B42BA3" w:rsidP="00BF2BA6">
            <w:pPr>
              <w:pStyle w:val="MDPI42tablebody"/>
              <w:autoSpaceDE w:val="0"/>
              <w:autoSpaceDN w:val="0"/>
              <w:spacing w:line="240" w:lineRule="auto"/>
              <w:rPr>
                <w:sz w:val="18"/>
                <w:szCs w:val="18"/>
              </w:rPr>
            </w:pPr>
            <w:r w:rsidRPr="006F7E3E">
              <w:rPr>
                <w:sz w:val="18"/>
                <w:szCs w:val="18"/>
              </w:rPr>
              <w:t>7000</w:t>
            </w:r>
          </w:p>
        </w:tc>
        <w:tc>
          <w:tcPr>
            <w:tcW w:w="640" w:type="dxa"/>
            <w:shd w:val="clear" w:color="auto" w:fill="auto"/>
            <w:vAlign w:val="center"/>
          </w:tcPr>
          <w:p w14:paraId="6490E22D" w14:textId="77777777" w:rsidR="00B42BA3" w:rsidRPr="006F7E3E" w:rsidRDefault="00B42BA3" w:rsidP="00BF2BA6">
            <w:pPr>
              <w:pStyle w:val="MDPI42tablebody"/>
              <w:autoSpaceDE w:val="0"/>
              <w:autoSpaceDN w:val="0"/>
              <w:spacing w:line="240" w:lineRule="auto"/>
              <w:rPr>
                <w:sz w:val="18"/>
                <w:szCs w:val="18"/>
              </w:rPr>
            </w:pPr>
            <w:r w:rsidRPr="006F7E3E">
              <w:rPr>
                <w:sz w:val="18"/>
                <w:szCs w:val="18"/>
              </w:rPr>
              <w:t>1.15</w:t>
            </w:r>
          </w:p>
        </w:tc>
        <w:tc>
          <w:tcPr>
            <w:tcW w:w="636" w:type="dxa"/>
            <w:shd w:val="clear" w:color="auto" w:fill="auto"/>
            <w:vAlign w:val="center"/>
          </w:tcPr>
          <w:p w14:paraId="2541C4D9" w14:textId="77777777" w:rsidR="00B42BA3" w:rsidRPr="006F7E3E" w:rsidRDefault="00B42BA3" w:rsidP="00BF2BA6">
            <w:pPr>
              <w:pStyle w:val="MDPI42tablebody"/>
              <w:autoSpaceDE w:val="0"/>
              <w:autoSpaceDN w:val="0"/>
              <w:spacing w:line="240" w:lineRule="auto"/>
              <w:rPr>
                <w:sz w:val="18"/>
                <w:szCs w:val="18"/>
              </w:rPr>
            </w:pPr>
            <w:r w:rsidRPr="006F7E3E">
              <w:rPr>
                <w:sz w:val="18"/>
                <w:szCs w:val="18"/>
              </w:rPr>
              <w:t>0.85</w:t>
            </w:r>
          </w:p>
        </w:tc>
        <w:tc>
          <w:tcPr>
            <w:tcW w:w="708" w:type="dxa"/>
            <w:shd w:val="clear" w:color="auto" w:fill="auto"/>
            <w:vAlign w:val="center"/>
          </w:tcPr>
          <w:p w14:paraId="67296CE8" w14:textId="77777777" w:rsidR="00B42BA3" w:rsidRPr="006F7E3E" w:rsidRDefault="00B42BA3" w:rsidP="00BF2BA6">
            <w:pPr>
              <w:pStyle w:val="MDPI42tablebody"/>
              <w:autoSpaceDE w:val="0"/>
              <w:autoSpaceDN w:val="0"/>
              <w:spacing w:line="240" w:lineRule="auto"/>
              <w:rPr>
                <w:sz w:val="18"/>
                <w:szCs w:val="18"/>
              </w:rPr>
            </w:pPr>
            <w:r w:rsidRPr="006F7E3E">
              <w:rPr>
                <w:sz w:val="18"/>
                <w:szCs w:val="18"/>
              </w:rPr>
              <w:t>52</w:t>
            </w:r>
          </w:p>
        </w:tc>
        <w:tc>
          <w:tcPr>
            <w:tcW w:w="708" w:type="dxa"/>
            <w:shd w:val="clear" w:color="auto" w:fill="auto"/>
            <w:vAlign w:val="center"/>
          </w:tcPr>
          <w:p w14:paraId="3B43E356" w14:textId="77777777" w:rsidR="00B42BA3" w:rsidRPr="006F7E3E" w:rsidRDefault="00B42BA3" w:rsidP="00BF2BA6">
            <w:pPr>
              <w:pStyle w:val="MDPI42tablebody"/>
              <w:autoSpaceDE w:val="0"/>
              <w:autoSpaceDN w:val="0"/>
              <w:spacing w:line="240" w:lineRule="auto"/>
              <w:rPr>
                <w:sz w:val="18"/>
                <w:szCs w:val="18"/>
              </w:rPr>
            </w:pPr>
            <w:r w:rsidRPr="006F7E3E">
              <w:rPr>
                <w:sz w:val="18"/>
                <w:szCs w:val="18"/>
              </w:rPr>
              <w:t>144</w:t>
            </w:r>
          </w:p>
        </w:tc>
        <w:tc>
          <w:tcPr>
            <w:tcW w:w="710" w:type="dxa"/>
            <w:shd w:val="clear" w:color="auto" w:fill="auto"/>
            <w:vAlign w:val="center"/>
          </w:tcPr>
          <w:p w14:paraId="36753907" w14:textId="77777777" w:rsidR="00B42BA3" w:rsidRPr="006F7E3E" w:rsidRDefault="00B42BA3" w:rsidP="00BF2BA6">
            <w:pPr>
              <w:pStyle w:val="MDPI42tablebody"/>
              <w:autoSpaceDE w:val="0"/>
              <w:autoSpaceDN w:val="0"/>
              <w:spacing w:line="240" w:lineRule="auto"/>
              <w:rPr>
                <w:sz w:val="18"/>
                <w:szCs w:val="18"/>
              </w:rPr>
            </w:pPr>
            <w:r w:rsidRPr="006F7E3E">
              <w:rPr>
                <w:sz w:val="18"/>
                <w:szCs w:val="18"/>
              </w:rPr>
              <w:t>26.6</w:t>
            </w:r>
          </w:p>
        </w:tc>
      </w:tr>
      <w:tr w:rsidR="00B42BA3" w:rsidRPr="006F7E3E" w14:paraId="6197E02F" w14:textId="77777777" w:rsidTr="00BF2BA6">
        <w:trPr>
          <w:jc w:val="center"/>
        </w:trPr>
        <w:tc>
          <w:tcPr>
            <w:tcW w:w="709" w:type="dxa"/>
            <w:tcBorders>
              <w:bottom w:val="single" w:sz="8" w:space="0" w:color="auto"/>
            </w:tcBorders>
            <w:shd w:val="clear" w:color="auto" w:fill="auto"/>
            <w:vAlign w:val="center"/>
          </w:tcPr>
          <w:p w14:paraId="52203F25" w14:textId="77777777" w:rsidR="00B42BA3" w:rsidRPr="006F7E3E" w:rsidRDefault="00B42BA3" w:rsidP="00BF2BA6">
            <w:pPr>
              <w:pStyle w:val="MDPI42tablebody"/>
              <w:autoSpaceDE w:val="0"/>
              <w:autoSpaceDN w:val="0"/>
              <w:spacing w:line="240" w:lineRule="auto"/>
              <w:rPr>
                <w:sz w:val="18"/>
                <w:szCs w:val="18"/>
              </w:rPr>
            </w:pPr>
            <w:r w:rsidRPr="006F7E3E">
              <w:rPr>
                <w:sz w:val="18"/>
                <w:szCs w:val="18"/>
              </w:rPr>
              <w:t>4</w:t>
            </w:r>
          </w:p>
        </w:tc>
        <w:tc>
          <w:tcPr>
            <w:tcW w:w="992" w:type="dxa"/>
            <w:tcBorders>
              <w:bottom w:val="single" w:sz="8" w:space="0" w:color="auto"/>
            </w:tcBorders>
            <w:shd w:val="clear" w:color="auto" w:fill="auto"/>
            <w:vAlign w:val="center"/>
          </w:tcPr>
          <w:p w14:paraId="3A235565" w14:textId="77777777" w:rsidR="00B42BA3" w:rsidRPr="006F7E3E" w:rsidRDefault="00B42BA3" w:rsidP="00BF2BA6">
            <w:pPr>
              <w:pStyle w:val="MDPI42tablebody"/>
              <w:autoSpaceDE w:val="0"/>
              <w:autoSpaceDN w:val="0"/>
              <w:spacing w:line="240" w:lineRule="auto"/>
              <w:rPr>
                <w:sz w:val="18"/>
                <w:szCs w:val="18"/>
              </w:rPr>
            </w:pPr>
            <w:r w:rsidRPr="006F7E3E">
              <w:rPr>
                <w:sz w:val="18"/>
                <w:szCs w:val="18"/>
              </w:rPr>
              <w:t>0.22</w:t>
            </w:r>
          </w:p>
        </w:tc>
        <w:tc>
          <w:tcPr>
            <w:tcW w:w="1134" w:type="dxa"/>
            <w:tcBorders>
              <w:bottom w:val="single" w:sz="8" w:space="0" w:color="auto"/>
            </w:tcBorders>
            <w:shd w:val="clear" w:color="auto" w:fill="auto"/>
            <w:vAlign w:val="center"/>
          </w:tcPr>
          <w:p w14:paraId="788FCD31" w14:textId="77777777" w:rsidR="00B42BA3" w:rsidRPr="006F7E3E" w:rsidRDefault="00B42BA3" w:rsidP="00BF2BA6">
            <w:pPr>
              <w:pStyle w:val="MDPI42tablebody"/>
              <w:autoSpaceDE w:val="0"/>
              <w:autoSpaceDN w:val="0"/>
              <w:spacing w:line="240" w:lineRule="auto"/>
              <w:rPr>
                <w:sz w:val="18"/>
                <w:szCs w:val="18"/>
              </w:rPr>
            </w:pPr>
            <w:r w:rsidRPr="006F7E3E">
              <w:rPr>
                <w:sz w:val="18"/>
                <w:szCs w:val="18"/>
              </w:rPr>
              <w:t>100:1:1</w:t>
            </w:r>
          </w:p>
        </w:tc>
        <w:tc>
          <w:tcPr>
            <w:tcW w:w="709" w:type="dxa"/>
            <w:tcBorders>
              <w:bottom w:val="single" w:sz="8" w:space="0" w:color="auto"/>
            </w:tcBorders>
            <w:shd w:val="clear" w:color="auto" w:fill="auto"/>
            <w:vAlign w:val="center"/>
          </w:tcPr>
          <w:p w14:paraId="3FBFD845" w14:textId="77777777" w:rsidR="00B42BA3" w:rsidRPr="006F7E3E" w:rsidRDefault="00B42BA3" w:rsidP="00BF2BA6">
            <w:pPr>
              <w:pStyle w:val="MDPI42tablebody"/>
              <w:autoSpaceDE w:val="0"/>
              <w:autoSpaceDN w:val="0"/>
              <w:spacing w:line="240" w:lineRule="auto"/>
              <w:rPr>
                <w:sz w:val="18"/>
                <w:szCs w:val="18"/>
              </w:rPr>
            </w:pPr>
            <w:r w:rsidRPr="006F7E3E">
              <w:rPr>
                <w:sz w:val="18"/>
                <w:szCs w:val="18"/>
              </w:rPr>
              <w:t>30</w:t>
            </w:r>
          </w:p>
        </w:tc>
        <w:tc>
          <w:tcPr>
            <w:tcW w:w="850" w:type="dxa"/>
            <w:tcBorders>
              <w:bottom w:val="single" w:sz="8" w:space="0" w:color="auto"/>
            </w:tcBorders>
            <w:shd w:val="clear" w:color="auto" w:fill="auto"/>
            <w:vAlign w:val="center"/>
          </w:tcPr>
          <w:p w14:paraId="3DD8B87E" w14:textId="77777777" w:rsidR="00B42BA3" w:rsidRPr="006F7E3E" w:rsidRDefault="00B42BA3" w:rsidP="00BF2BA6">
            <w:pPr>
              <w:pStyle w:val="MDPI42tablebody"/>
              <w:autoSpaceDE w:val="0"/>
              <w:autoSpaceDN w:val="0"/>
              <w:spacing w:line="240" w:lineRule="auto"/>
              <w:rPr>
                <w:sz w:val="18"/>
                <w:szCs w:val="18"/>
              </w:rPr>
            </w:pPr>
            <w:r w:rsidRPr="006F7E3E">
              <w:rPr>
                <w:sz w:val="18"/>
                <w:szCs w:val="18"/>
              </w:rPr>
              <w:t>77</w:t>
            </w:r>
          </w:p>
        </w:tc>
        <w:tc>
          <w:tcPr>
            <w:tcW w:w="992" w:type="dxa"/>
            <w:tcBorders>
              <w:bottom w:val="single" w:sz="8" w:space="0" w:color="auto"/>
            </w:tcBorders>
            <w:shd w:val="clear" w:color="auto" w:fill="auto"/>
            <w:vAlign w:val="center"/>
          </w:tcPr>
          <w:p w14:paraId="3E2A830E" w14:textId="77777777" w:rsidR="00B42BA3" w:rsidRPr="006F7E3E" w:rsidRDefault="00B42BA3" w:rsidP="00BF2BA6">
            <w:pPr>
              <w:pStyle w:val="MDPI42tablebody"/>
              <w:autoSpaceDE w:val="0"/>
              <w:autoSpaceDN w:val="0"/>
              <w:spacing w:line="240" w:lineRule="auto"/>
              <w:rPr>
                <w:sz w:val="18"/>
                <w:szCs w:val="18"/>
              </w:rPr>
            </w:pPr>
            <w:r w:rsidRPr="006F7E3E">
              <w:rPr>
                <w:sz w:val="18"/>
                <w:szCs w:val="18"/>
              </w:rPr>
              <w:t>11,000</w:t>
            </w:r>
          </w:p>
        </w:tc>
        <w:tc>
          <w:tcPr>
            <w:tcW w:w="640" w:type="dxa"/>
            <w:tcBorders>
              <w:bottom w:val="single" w:sz="8" w:space="0" w:color="auto"/>
            </w:tcBorders>
            <w:shd w:val="clear" w:color="auto" w:fill="auto"/>
            <w:vAlign w:val="center"/>
          </w:tcPr>
          <w:p w14:paraId="7FF27C49" w14:textId="77777777" w:rsidR="00B42BA3" w:rsidRPr="006F7E3E" w:rsidRDefault="00B42BA3" w:rsidP="00BF2BA6">
            <w:pPr>
              <w:pStyle w:val="MDPI42tablebody"/>
              <w:autoSpaceDE w:val="0"/>
              <w:autoSpaceDN w:val="0"/>
              <w:spacing w:line="240" w:lineRule="auto"/>
              <w:rPr>
                <w:sz w:val="18"/>
                <w:szCs w:val="18"/>
              </w:rPr>
            </w:pPr>
            <w:r w:rsidRPr="006F7E3E">
              <w:rPr>
                <w:sz w:val="18"/>
                <w:szCs w:val="18"/>
              </w:rPr>
              <w:t>1.25</w:t>
            </w:r>
          </w:p>
        </w:tc>
        <w:tc>
          <w:tcPr>
            <w:tcW w:w="636" w:type="dxa"/>
            <w:tcBorders>
              <w:bottom w:val="single" w:sz="8" w:space="0" w:color="auto"/>
            </w:tcBorders>
            <w:shd w:val="clear" w:color="auto" w:fill="auto"/>
            <w:vAlign w:val="center"/>
          </w:tcPr>
          <w:p w14:paraId="1496F24F" w14:textId="77777777" w:rsidR="00B42BA3" w:rsidRPr="006F7E3E" w:rsidRDefault="00B42BA3" w:rsidP="00BF2BA6">
            <w:pPr>
              <w:pStyle w:val="MDPI42tablebody"/>
              <w:autoSpaceDE w:val="0"/>
              <w:autoSpaceDN w:val="0"/>
              <w:spacing w:line="240" w:lineRule="auto"/>
              <w:rPr>
                <w:sz w:val="18"/>
                <w:szCs w:val="18"/>
              </w:rPr>
            </w:pPr>
            <w:r w:rsidRPr="006F7E3E">
              <w:rPr>
                <w:sz w:val="18"/>
                <w:szCs w:val="18"/>
              </w:rPr>
              <w:t>0.85</w:t>
            </w:r>
          </w:p>
        </w:tc>
        <w:tc>
          <w:tcPr>
            <w:tcW w:w="708" w:type="dxa"/>
            <w:tcBorders>
              <w:bottom w:val="single" w:sz="8" w:space="0" w:color="auto"/>
            </w:tcBorders>
            <w:shd w:val="clear" w:color="auto" w:fill="auto"/>
            <w:vAlign w:val="center"/>
          </w:tcPr>
          <w:p w14:paraId="7DDA88DA" w14:textId="77777777" w:rsidR="00B42BA3" w:rsidRPr="006F7E3E" w:rsidRDefault="00B42BA3" w:rsidP="00BF2BA6">
            <w:pPr>
              <w:pStyle w:val="MDPI42tablebody"/>
              <w:autoSpaceDE w:val="0"/>
              <w:autoSpaceDN w:val="0"/>
              <w:spacing w:line="240" w:lineRule="auto"/>
              <w:rPr>
                <w:sz w:val="18"/>
                <w:szCs w:val="18"/>
              </w:rPr>
            </w:pPr>
            <w:r w:rsidRPr="006F7E3E">
              <w:rPr>
                <w:sz w:val="18"/>
                <w:szCs w:val="18"/>
              </w:rPr>
              <w:t>51</w:t>
            </w:r>
          </w:p>
        </w:tc>
        <w:tc>
          <w:tcPr>
            <w:tcW w:w="708" w:type="dxa"/>
            <w:tcBorders>
              <w:bottom w:val="single" w:sz="8" w:space="0" w:color="auto"/>
            </w:tcBorders>
            <w:shd w:val="clear" w:color="auto" w:fill="auto"/>
            <w:vAlign w:val="center"/>
          </w:tcPr>
          <w:p w14:paraId="43C11053" w14:textId="77777777" w:rsidR="00B42BA3" w:rsidRPr="006F7E3E" w:rsidRDefault="00B42BA3" w:rsidP="00BF2BA6">
            <w:pPr>
              <w:pStyle w:val="MDPI42tablebody"/>
              <w:autoSpaceDE w:val="0"/>
              <w:autoSpaceDN w:val="0"/>
              <w:spacing w:line="240" w:lineRule="auto"/>
              <w:rPr>
                <w:sz w:val="18"/>
                <w:szCs w:val="18"/>
              </w:rPr>
            </w:pPr>
            <w:r w:rsidRPr="006F7E3E">
              <w:rPr>
                <w:sz w:val="18"/>
                <w:szCs w:val="18"/>
              </w:rPr>
              <w:t>141</w:t>
            </w:r>
          </w:p>
        </w:tc>
        <w:tc>
          <w:tcPr>
            <w:tcW w:w="710" w:type="dxa"/>
            <w:tcBorders>
              <w:bottom w:val="single" w:sz="8" w:space="0" w:color="auto"/>
            </w:tcBorders>
            <w:shd w:val="clear" w:color="auto" w:fill="auto"/>
            <w:vAlign w:val="center"/>
          </w:tcPr>
          <w:p w14:paraId="609C272D" w14:textId="77777777" w:rsidR="00B42BA3" w:rsidRPr="006F7E3E" w:rsidRDefault="00B42BA3" w:rsidP="00BF2BA6">
            <w:pPr>
              <w:pStyle w:val="MDPI42tablebody"/>
              <w:autoSpaceDE w:val="0"/>
              <w:autoSpaceDN w:val="0"/>
              <w:spacing w:line="240" w:lineRule="auto"/>
              <w:rPr>
                <w:sz w:val="18"/>
                <w:szCs w:val="18"/>
              </w:rPr>
            </w:pPr>
            <w:r w:rsidRPr="006F7E3E">
              <w:rPr>
                <w:sz w:val="18"/>
                <w:szCs w:val="18"/>
              </w:rPr>
              <w:t>8.5</w:t>
            </w:r>
          </w:p>
        </w:tc>
      </w:tr>
    </w:tbl>
    <w:p w14:paraId="1A804810" w14:textId="730CFD8E" w:rsidR="00B42BA3" w:rsidRPr="006F7E3E" w:rsidRDefault="00B42BA3">
      <w:pPr>
        <w:pStyle w:val="MDPI43tablefooter"/>
        <w:ind w:left="425" w:right="425"/>
      </w:pPr>
      <w:r w:rsidRPr="006F7E3E">
        <w:rPr>
          <w:vertAlign w:val="superscript"/>
        </w:rPr>
        <w:t>1</w:t>
      </w:r>
      <w:r w:rsidRPr="006F7E3E">
        <w:t xml:space="preserve"> Monomer conversion was determined by</w:t>
      </w:r>
      <w:r w:rsidR="007D77CE" w:rsidRPr="006F7E3E">
        <w:t xml:space="preserve"> </w:t>
      </w:r>
      <w:r w:rsidR="00D93EB3" w:rsidRPr="006F7E3E">
        <w:t>size exclusion chromatography (SEC)</w:t>
      </w:r>
      <w:r w:rsidRPr="006F7E3E">
        <w:t xml:space="preserve"> in </w:t>
      </w:r>
      <w:r w:rsidR="00D93EB3" w:rsidRPr="006F7E3E">
        <w:t>tetrahydrofuran (THF)</w:t>
      </w:r>
      <w:r w:rsidRPr="006F7E3E">
        <w:rPr>
          <w:vertAlign w:val="subscript"/>
        </w:rPr>
        <w:t xml:space="preserve"> </w:t>
      </w:r>
      <w:r w:rsidRPr="006F7E3E">
        <w:t>before polymer purification.</w:t>
      </w:r>
      <w:r w:rsidRPr="006F7E3E">
        <w:rPr>
          <w:szCs w:val="18"/>
        </w:rPr>
        <w:t xml:space="preserve"> </w:t>
      </w:r>
      <w:r w:rsidRPr="006F7E3E">
        <w:rPr>
          <w:vertAlign w:val="superscript"/>
        </w:rPr>
        <w:t>2</w:t>
      </w:r>
      <w:r w:rsidRPr="006F7E3E">
        <w:t xml:space="preserve"> Absolute number-average molar mass</w:t>
      </w:r>
      <w:r w:rsidRPr="006F7E3E">
        <w:rPr>
          <w:i/>
        </w:rPr>
        <w:t xml:space="preserve"> </w:t>
      </w:r>
      <w:r w:rsidRPr="006F7E3E">
        <w:t>(</w:t>
      </w:r>
      <w:r w:rsidRPr="006F7E3E">
        <w:rPr>
          <w:i/>
        </w:rPr>
        <w:t>M</w:t>
      </w:r>
      <w:r w:rsidRPr="006F7E3E">
        <w:rPr>
          <w:vertAlign w:val="subscript"/>
        </w:rPr>
        <w:t>n</w:t>
      </w:r>
      <w:r w:rsidRPr="006F7E3E">
        <w:t>)</w:t>
      </w:r>
      <w:r w:rsidRPr="006F7E3E">
        <w:rPr>
          <w:vertAlign w:val="subscript"/>
        </w:rPr>
        <w:t xml:space="preserve"> </w:t>
      </w:r>
      <w:r w:rsidRPr="006F7E3E">
        <w:t>and dispersity (</w:t>
      </w:r>
      <w:r w:rsidRPr="006F7E3E">
        <w:rPr>
          <w:i/>
        </w:rPr>
        <w:t>Đ</w:t>
      </w:r>
      <w:r w:rsidRPr="006F7E3E">
        <w:rPr>
          <w:vertAlign w:val="subscript"/>
        </w:rPr>
        <w:t>M</w:t>
      </w:r>
      <w:r w:rsidRPr="006F7E3E">
        <w:t xml:space="preserve">) values were determined by SEC in THF using polystyrene standards for calibration, using a correcting factor of 0.58 [22]. </w:t>
      </w:r>
      <w:r w:rsidRPr="006F7E3E">
        <w:rPr>
          <w:vertAlign w:val="superscript"/>
        </w:rPr>
        <w:t>3</w:t>
      </w:r>
      <w:r w:rsidR="0003492B" w:rsidRPr="006F7E3E">
        <w:t xml:space="preserve"> </w:t>
      </w:r>
      <w:r w:rsidRPr="006F7E3E">
        <w:t xml:space="preserve">Probability of finding </w:t>
      </w:r>
      <w:proofErr w:type="spellStart"/>
      <w:r w:rsidRPr="006F7E3E">
        <w:t>mesodyads</w:t>
      </w:r>
      <w:proofErr w:type="spellEnd"/>
      <w:r w:rsidRPr="006F7E3E">
        <w:t xml:space="preserve"> calculated from homonuclear decoupled </w:t>
      </w:r>
      <w:r w:rsidR="00D93EB3" w:rsidRPr="006F7E3E">
        <w:t>(</w:t>
      </w:r>
      <w:r w:rsidRPr="006F7E3E">
        <w:rPr>
          <w:vertAlign w:val="superscript"/>
        </w:rPr>
        <w:t>1</w:t>
      </w:r>
      <w:r w:rsidRPr="006F7E3E">
        <w:t xml:space="preserve">H NMR. </w:t>
      </w:r>
      <w:r w:rsidRPr="006F7E3E">
        <w:rPr>
          <w:vertAlign w:val="superscript"/>
        </w:rPr>
        <w:t>4</w:t>
      </w:r>
      <w:r w:rsidRPr="006F7E3E">
        <w:t xml:space="preserve"> </w:t>
      </w:r>
      <w:proofErr w:type="spellStart"/>
      <w:r w:rsidRPr="006F7E3E">
        <w:rPr>
          <w:i/>
        </w:rPr>
        <w:t>T</w:t>
      </w:r>
      <w:r w:rsidRPr="006F7E3E">
        <w:rPr>
          <w:vertAlign w:val="subscript"/>
        </w:rPr>
        <w:t>g</w:t>
      </w:r>
      <w:proofErr w:type="spellEnd"/>
      <w:r w:rsidRPr="006F7E3E">
        <w:rPr>
          <w:i/>
        </w:rPr>
        <w:t xml:space="preserve"> </w:t>
      </w:r>
      <w:r w:rsidRPr="006F7E3E">
        <w:t>and</w:t>
      </w:r>
      <w:r w:rsidRPr="006F7E3E">
        <w:rPr>
          <w:i/>
        </w:rPr>
        <w:t xml:space="preserve"> T</w:t>
      </w:r>
      <w:r w:rsidRPr="006F7E3E">
        <w:rPr>
          <w:vertAlign w:val="subscript"/>
        </w:rPr>
        <w:t>m</w:t>
      </w:r>
      <w:r w:rsidRPr="006F7E3E">
        <w:t xml:space="preserve"> values were determined by</w:t>
      </w:r>
      <w:r w:rsidR="00D93EB3" w:rsidRPr="006F7E3E">
        <w:t xml:space="preserve"> differential scanning calorimetry (DSC)</w:t>
      </w:r>
      <w:r w:rsidRPr="006F7E3E">
        <w:t xml:space="preserve"> from the 1st heating curve (ESI).</w:t>
      </w:r>
    </w:p>
    <w:p w14:paraId="17FB365E" w14:textId="77777777" w:rsidR="00E767F3" w:rsidRPr="006F7E3E" w:rsidRDefault="00E767F3" w:rsidP="00E93E70">
      <w:pPr>
        <w:pStyle w:val="MDPI52figure"/>
      </w:pPr>
      <w:r w:rsidRPr="006F7E3E">
        <w:rPr>
          <w:noProof/>
          <w:lang w:eastAsia="zh-CN" w:bidi="ar-SA"/>
        </w:rPr>
        <w:lastRenderedPageBreak/>
        <w:drawing>
          <wp:inline distT="0" distB="0" distL="0" distR="0" wp14:anchorId="2F1AEEED" wp14:editId="374CD7FC">
            <wp:extent cx="4015284" cy="3629025"/>
            <wp:effectExtent l="0" t="0" r="4445"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029541" cy="3641910"/>
                    </a:xfrm>
                    <a:prstGeom prst="rect">
                      <a:avLst/>
                    </a:prstGeom>
                    <a:noFill/>
                  </pic:spPr>
                </pic:pic>
              </a:graphicData>
            </a:graphic>
          </wp:inline>
        </w:drawing>
      </w:r>
    </w:p>
    <w:p w14:paraId="1B6185BF" w14:textId="7E1D58C2" w:rsidR="00E767F3" w:rsidRPr="006F7E3E" w:rsidRDefault="00E93E70" w:rsidP="00E93E70">
      <w:pPr>
        <w:pStyle w:val="MDPI51figurecaption"/>
      </w:pPr>
      <w:r w:rsidRPr="006F7E3E">
        <w:rPr>
          <w:b/>
        </w:rPr>
        <w:t xml:space="preserve">Figure 2. </w:t>
      </w:r>
      <w:r w:rsidR="00E767F3" w:rsidRPr="006F7E3E">
        <w:t xml:space="preserve">Methine region of homonuclear decoupled </w:t>
      </w:r>
      <w:r w:rsidR="00E767F3" w:rsidRPr="006F7E3E">
        <w:rPr>
          <w:vertAlign w:val="superscript"/>
        </w:rPr>
        <w:t>1</w:t>
      </w:r>
      <w:r w:rsidR="00E767F3" w:rsidRPr="006F7E3E">
        <w:t>H-NMR spectra of poly(</w:t>
      </w:r>
      <w:proofErr w:type="spellStart"/>
      <w:r w:rsidR="00E767F3" w:rsidRPr="006F7E3E">
        <w:rPr>
          <w:i/>
        </w:rPr>
        <w:t>rac</w:t>
      </w:r>
      <w:proofErr w:type="spellEnd"/>
      <w:r w:rsidR="00E767F3" w:rsidRPr="006F7E3E">
        <w:t xml:space="preserve">-LA) obtained at different polymerization temperatures and solvents using </w:t>
      </w:r>
      <w:commentRangeStart w:id="12"/>
      <w:r w:rsidR="00E767F3" w:rsidRPr="006F7E3E">
        <w:t xml:space="preserve">TBD </w:t>
      </w:r>
      <w:commentRangeEnd w:id="12"/>
      <w:r w:rsidR="008B600E" w:rsidRPr="006F7E3E">
        <w:rPr>
          <w:rStyle w:val="Marquedecommentaire"/>
          <w:rFonts w:ascii="Times New Roman" w:hAnsi="Times New Roman"/>
          <w:lang w:bidi="ar-SA"/>
        </w:rPr>
        <w:commentReference w:id="12"/>
      </w:r>
      <w:r w:rsidR="00E767F3" w:rsidRPr="006F7E3E">
        <w:t xml:space="preserve">as </w:t>
      </w:r>
      <w:r w:rsidR="00BA574E" w:rsidRPr="006F7E3E">
        <w:t xml:space="preserve">a </w:t>
      </w:r>
      <w:r w:rsidR="00E767F3" w:rsidRPr="006F7E3E">
        <w:t>catalyst (</w:t>
      </w:r>
      <w:r w:rsidR="00E767F3" w:rsidRPr="006F7E3E">
        <w:rPr>
          <w:i/>
        </w:rPr>
        <w:t>X</w:t>
      </w:r>
      <w:r w:rsidR="00E767F3" w:rsidRPr="006F7E3E">
        <w:t xml:space="preserve">-axis in ppm). Peak attributions from </w:t>
      </w:r>
      <w:r w:rsidR="0064400C" w:rsidRPr="006F7E3E">
        <w:t>[</w:t>
      </w:r>
      <w:commentRangeStart w:id="13"/>
      <w:r w:rsidR="0064400C" w:rsidRPr="006F7E3E">
        <w:t>4</w:t>
      </w:r>
      <w:commentRangeEnd w:id="13"/>
      <w:r w:rsidR="0064400C" w:rsidRPr="006F7E3E">
        <w:rPr>
          <w:rStyle w:val="Marquedecommentaire"/>
          <w:rFonts w:ascii="Times New Roman" w:hAnsi="Times New Roman"/>
          <w:lang w:bidi="ar-SA"/>
        </w:rPr>
        <w:commentReference w:id="13"/>
      </w:r>
      <w:r w:rsidR="0064400C" w:rsidRPr="006F7E3E">
        <w:t>]</w:t>
      </w:r>
      <w:r w:rsidR="00E767F3" w:rsidRPr="006F7E3E">
        <w:t>.</w:t>
      </w:r>
    </w:p>
    <w:p w14:paraId="0754C2D0" w14:textId="3C66A43B" w:rsidR="00E767F3" w:rsidRPr="006F7E3E" w:rsidRDefault="00E767F3" w:rsidP="00E93E70">
      <w:pPr>
        <w:pStyle w:val="MDPI31text"/>
      </w:pPr>
      <w:r w:rsidRPr="006F7E3E">
        <w:t xml:space="preserve">At this stage, we sought to identify the reasons for the remarkable selectivity observed with TBD at </w:t>
      </w:r>
      <w:r w:rsidR="00E93E70" w:rsidRPr="006F7E3E">
        <w:t>−</w:t>
      </w:r>
      <w:r w:rsidRPr="006F7E3E">
        <w:t xml:space="preserve">75 °C. The importance of the solvent on the observed selectivity during the </w:t>
      </w:r>
      <w:proofErr w:type="spellStart"/>
      <w:r w:rsidRPr="006F7E3E">
        <w:rPr>
          <w:i/>
          <w:iCs/>
        </w:rPr>
        <w:t>rac</w:t>
      </w:r>
      <w:proofErr w:type="spellEnd"/>
      <w:r w:rsidRPr="006F7E3E">
        <w:t xml:space="preserve">-LA ROP under cryogenic conditions was first addressed. To </w:t>
      </w:r>
      <w:r w:rsidR="001D3272" w:rsidRPr="006F7E3E">
        <w:t>check whether</w:t>
      </w:r>
      <w:r w:rsidRPr="006F7E3E">
        <w:t xml:space="preserve"> solubility </w:t>
      </w:r>
      <w:r w:rsidR="00156554" w:rsidRPr="006F7E3E">
        <w:t>is ruling</w:t>
      </w:r>
      <w:r w:rsidRPr="006F7E3E">
        <w:t xml:space="preserve"> the stereo</w:t>
      </w:r>
      <w:r w:rsidR="00BA574E" w:rsidRPr="006F7E3E">
        <w:t>-</w:t>
      </w:r>
      <w:r w:rsidRPr="006F7E3E">
        <w:t xml:space="preserve">control over the polymerization process, toluene was substituted by DCM in which </w:t>
      </w:r>
      <w:proofErr w:type="spellStart"/>
      <w:r w:rsidRPr="006F7E3E">
        <w:rPr>
          <w:i/>
          <w:iCs/>
        </w:rPr>
        <w:t>rac</w:t>
      </w:r>
      <w:proofErr w:type="spellEnd"/>
      <w:r w:rsidRPr="006F7E3E">
        <w:t>-LA is highly soluble. With a ratio of 100:1:0.1 for [</w:t>
      </w:r>
      <w:proofErr w:type="spellStart"/>
      <w:r w:rsidRPr="006F7E3E">
        <w:rPr>
          <w:i/>
          <w:iCs/>
        </w:rPr>
        <w:t>rac</w:t>
      </w:r>
      <w:proofErr w:type="spellEnd"/>
      <w:r w:rsidRPr="006F7E3E">
        <w:t>-LA]</w:t>
      </w:r>
      <w:r w:rsidRPr="006F7E3E">
        <w:rPr>
          <w:vertAlign w:val="subscript"/>
        </w:rPr>
        <w:t>0</w:t>
      </w:r>
      <w:r w:rsidRPr="006F7E3E">
        <w:t>/[</w:t>
      </w:r>
      <w:proofErr w:type="spellStart"/>
      <w:r w:rsidRPr="006F7E3E">
        <w:t>BnOH</w:t>
      </w:r>
      <w:proofErr w:type="spellEnd"/>
      <w:r w:rsidRPr="006F7E3E">
        <w:t>]</w:t>
      </w:r>
      <w:r w:rsidRPr="006F7E3E">
        <w:rPr>
          <w:vertAlign w:val="subscript"/>
        </w:rPr>
        <w:t>0</w:t>
      </w:r>
      <w:r w:rsidRPr="006F7E3E">
        <w:t>/[TBD]</w:t>
      </w:r>
      <w:r w:rsidRPr="006F7E3E">
        <w:rPr>
          <w:vertAlign w:val="subscript"/>
        </w:rPr>
        <w:t>0</w:t>
      </w:r>
      <w:r w:rsidRPr="006F7E3E">
        <w:t xml:space="preserve"> ([</w:t>
      </w:r>
      <w:proofErr w:type="spellStart"/>
      <w:r w:rsidRPr="006F7E3E">
        <w:rPr>
          <w:i/>
          <w:iCs/>
        </w:rPr>
        <w:t>rac</w:t>
      </w:r>
      <w:proofErr w:type="spellEnd"/>
      <w:r w:rsidRPr="006F7E3E">
        <w:t>-LA]</w:t>
      </w:r>
      <w:r w:rsidRPr="006F7E3E">
        <w:rPr>
          <w:vertAlign w:val="subscript"/>
        </w:rPr>
        <w:t>0</w:t>
      </w:r>
      <w:r w:rsidRPr="006F7E3E">
        <w:t xml:space="preserve"> = 0.08M), the monomer was almost quantitatively converted to polymer within 1 h at -75 °C (conv. ~0.9). The produced PLA possessed a </w:t>
      </w:r>
      <w:r w:rsidRPr="006F7E3E">
        <w:rPr>
          <w:i/>
          <w:iCs/>
        </w:rPr>
        <w:t>M</w:t>
      </w:r>
      <w:r w:rsidRPr="006F7E3E">
        <w:rPr>
          <w:i/>
          <w:iCs/>
          <w:vertAlign w:val="subscript"/>
        </w:rPr>
        <w:t>n</w:t>
      </w:r>
      <w:r w:rsidRPr="006F7E3E">
        <w:rPr>
          <w:vertAlign w:val="subscript"/>
        </w:rPr>
        <w:t>, SEC</w:t>
      </w:r>
      <w:r w:rsidRPr="006F7E3E">
        <w:t xml:space="preserve"> of</w:t>
      </w:r>
      <w:r w:rsidR="003F6CE1" w:rsidRPr="006F7E3E">
        <w:t xml:space="preserve"> 12,000 </w:t>
      </w:r>
      <w:r w:rsidRPr="006F7E3E">
        <w:t>g.mol</w:t>
      </w:r>
      <w:r w:rsidR="003F6CE1" w:rsidRPr="006F7E3E">
        <w:rPr>
          <w:vertAlign w:val="superscript"/>
        </w:rPr>
        <w:t>−1</w:t>
      </w:r>
      <w:r w:rsidRPr="006F7E3E">
        <w:t xml:space="preserve"> with a narrow dispersity (1.09). As in the polymerizations realized in toluene, a high level of </w:t>
      </w:r>
      <w:proofErr w:type="spellStart"/>
      <w:r w:rsidRPr="006F7E3E">
        <w:t>isotacticity</w:t>
      </w:r>
      <w:proofErr w:type="spellEnd"/>
      <w:r w:rsidRPr="006F7E3E">
        <w:t xml:space="preserve"> was confirmed by homonuclear decoupled </w:t>
      </w:r>
      <w:r w:rsidRPr="006F7E3E">
        <w:rPr>
          <w:vertAlign w:val="superscript"/>
        </w:rPr>
        <w:t>1</w:t>
      </w:r>
      <w:r w:rsidRPr="006F7E3E">
        <w:t>H NMR spectroscopy (</w:t>
      </w:r>
      <w:r w:rsidRPr="006F7E3E">
        <w:rPr>
          <w:i/>
          <w:iCs/>
        </w:rPr>
        <w:t>P</w:t>
      </w:r>
      <w:r w:rsidRPr="006F7E3E">
        <w:rPr>
          <w:i/>
          <w:iCs/>
          <w:vertAlign w:val="subscript"/>
        </w:rPr>
        <w:t>m</w:t>
      </w:r>
      <w:r w:rsidRPr="006F7E3E">
        <w:t xml:space="preserve"> = 0.88, Figure 2) and DSC analysis (</w:t>
      </w:r>
      <w:proofErr w:type="spellStart"/>
      <w:r w:rsidRPr="006F7E3E">
        <w:rPr>
          <w:i/>
        </w:rPr>
        <w:t>T</w:t>
      </w:r>
      <w:r w:rsidRPr="006F7E3E">
        <w:rPr>
          <w:vertAlign w:val="subscript"/>
        </w:rPr>
        <w:t>g</w:t>
      </w:r>
      <w:proofErr w:type="spellEnd"/>
      <w:r w:rsidRPr="006F7E3E">
        <w:t xml:space="preserve"> = 58.6 °C, </w:t>
      </w:r>
      <w:r w:rsidRPr="006F7E3E">
        <w:rPr>
          <w:i/>
        </w:rPr>
        <w:t>T</w:t>
      </w:r>
      <w:r w:rsidRPr="006F7E3E">
        <w:rPr>
          <w:vertAlign w:val="subscript"/>
        </w:rPr>
        <w:t>m</w:t>
      </w:r>
      <w:r w:rsidRPr="006F7E3E">
        <w:t xml:space="preserve"> = 158.5 °C, </w:t>
      </w:r>
      <w:r w:rsidRPr="006F7E3E">
        <w:rPr>
          <w:rFonts w:ascii="Symbol" w:hAnsi="Symbol"/>
        </w:rPr>
        <w:t></w:t>
      </w:r>
      <w:r w:rsidRPr="006F7E3E">
        <w:rPr>
          <w:i/>
        </w:rPr>
        <w:t>H</w:t>
      </w:r>
      <w:r w:rsidRPr="006F7E3E">
        <w:rPr>
          <w:vertAlign w:val="subscript"/>
        </w:rPr>
        <w:t>m</w:t>
      </w:r>
      <w:r w:rsidRPr="006F7E3E">
        <w:t xml:space="preserve"> = 29.3 </w:t>
      </w:r>
      <w:proofErr w:type="gramStart"/>
      <w:r w:rsidRPr="006F7E3E">
        <w:t>J.g</w:t>
      </w:r>
      <w:proofErr w:type="gramEnd"/>
      <w:r w:rsidR="003F6CE1" w:rsidRPr="006F7E3E">
        <w:rPr>
          <w:vertAlign w:val="superscript"/>
        </w:rPr>
        <w:t>−1</w:t>
      </w:r>
      <w:r w:rsidRPr="006F7E3E">
        <w:t xml:space="preserve">). Such results indicate that the selectivity observed by using TBD as </w:t>
      </w:r>
      <w:r w:rsidR="006E4E7F" w:rsidRPr="006F7E3E">
        <w:t xml:space="preserve">the </w:t>
      </w:r>
      <w:r w:rsidRPr="006F7E3E">
        <w:t>catalyst under cryogenic conditions is not related to the nature of the solvent</w:t>
      </w:r>
      <w:r w:rsidR="006E4E7F" w:rsidRPr="006F7E3E">
        <w:t>,</w:t>
      </w:r>
      <w:r w:rsidRPr="006F7E3E">
        <w:t xml:space="preserve"> and hence, we hypothesize that the unexpected stereoselectivity must arise from intermolecular interactions between the catalyst, chain end and monomer.</w:t>
      </w:r>
    </w:p>
    <w:p w14:paraId="1958F808" w14:textId="7C13A889" w:rsidR="006E4E7F" w:rsidRPr="006F7E3E" w:rsidRDefault="00300B22" w:rsidP="00E93E70">
      <w:pPr>
        <w:pStyle w:val="MDPI31text"/>
      </w:pPr>
      <w:r w:rsidRPr="006F7E3E">
        <w:t>The difference in reactivity of TBD towards either</w:t>
      </w:r>
      <w:r w:rsidR="006E4E7F" w:rsidRPr="006F7E3E">
        <w:t xml:space="preserve"> the</w:t>
      </w:r>
      <w:r w:rsidRPr="006F7E3E">
        <w:t xml:space="preserve"> </w:t>
      </w:r>
      <w:r w:rsidRPr="006F7E3E">
        <w:rPr>
          <w:i/>
        </w:rPr>
        <w:t>L</w:t>
      </w:r>
      <w:r w:rsidRPr="006F7E3E">
        <w:t xml:space="preserve">- or </w:t>
      </w:r>
      <w:r w:rsidR="006E4E7F" w:rsidRPr="006F7E3E">
        <w:t xml:space="preserve">the </w:t>
      </w:r>
      <w:r w:rsidRPr="006F7E3E">
        <w:rPr>
          <w:i/>
        </w:rPr>
        <w:t>D</w:t>
      </w:r>
      <w:r w:rsidRPr="006F7E3E">
        <w:t>-</w:t>
      </w:r>
      <w:proofErr w:type="spellStart"/>
      <w:r w:rsidRPr="006F7E3E">
        <w:t>stereogenic</w:t>
      </w:r>
      <w:proofErr w:type="spellEnd"/>
      <w:r w:rsidRPr="006F7E3E">
        <w:t xml:space="preserve"> cent</w:t>
      </w:r>
      <w:r w:rsidR="006E4E7F" w:rsidRPr="006F7E3E">
        <w:t>er</w:t>
      </w:r>
      <w:r w:rsidRPr="006F7E3E">
        <w:t xml:space="preserve"> was then evaluated. To this end, a cryogenic polymerization of </w:t>
      </w:r>
      <w:r w:rsidRPr="006F7E3E">
        <w:rPr>
          <w:i/>
        </w:rPr>
        <w:t>meso</w:t>
      </w:r>
      <w:r w:rsidRPr="006F7E3E">
        <w:t>-lactide in toluene was performed ([</w:t>
      </w:r>
      <w:r w:rsidRPr="006F7E3E">
        <w:rPr>
          <w:i/>
        </w:rPr>
        <w:t>meso</w:t>
      </w:r>
      <w:r w:rsidRPr="006F7E3E">
        <w:t>-lactide]</w:t>
      </w:r>
      <w:r w:rsidRPr="006F7E3E">
        <w:rPr>
          <w:vertAlign w:val="subscript"/>
        </w:rPr>
        <w:t>0</w:t>
      </w:r>
      <w:r w:rsidRPr="006F7E3E">
        <w:t>/[</w:t>
      </w:r>
      <w:proofErr w:type="spellStart"/>
      <w:r w:rsidRPr="006F7E3E">
        <w:t>BnOH</w:t>
      </w:r>
      <w:proofErr w:type="spellEnd"/>
      <w:r w:rsidRPr="006F7E3E">
        <w:t>]</w:t>
      </w:r>
      <w:r w:rsidRPr="006F7E3E">
        <w:rPr>
          <w:vertAlign w:val="subscript"/>
        </w:rPr>
        <w:t>0</w:t>
      </w:r>
      <w:r w:rsidRPr="006F7E3E">
        <w:t>/[TBD]</w:t>
      </w:r>
      <w:r w:rsidRPr="006F7E3E">
        <w:rPr>
          <w:vertAlign w:val="subscript"/>
        </w:rPr>
        <w:t>0</w:t>
      </w:r>
      <w:r w:rsidRPr="006F7E3E">
        <w:t xml:space="preserve"> = 100/1/1). As expected, the polymer obtained (</w:t>
      </w:r>
      <w:r w:rsidRPr="006F7E3E">
        <w:rPr>
          <w:i/>
        </w:rPr>
        <w:t>M</w:t>
      </w:r>
      <w:r w:rsidRPr="006F7E3E">
        <w:rPr>
          <w:vertAlign w:val="subscript"/>
        </w:rPr>
        <w:t>n, SEC</w:t>
      </w:r>
      <w:r w:rsidRPr="006F7E3E">
        <w:t xml:space="preserve"> =</w:t>
      </w:r>
      <w:r w:rsidR="003F6CE1" w:rsidRPr="006F7E3E">
        <w:t xml:space="preserve"> 17,200 </w:t>
      </w:r>
      <w:r w:rsidRPr="006F7E3E">
        <w:t>g.mol</w:t>
      </w:r>
      <w:r w:rsidR="00AF6500" w:rsidRPr="006F7E3E">
        <w:rPr>
          <w:vertAlign w:val="superscript"/>
        </w:rPr>
        <w:t>−</w:t>
      </w:r>
      <w:r w:rsidR="003F6CE1" w:rsidRPr="006F7E3E">
        <w:rPr>
          <w:vertAlign w:val="superscript"/>
        </w:rPr>
        <w:t>1</w:t>
      </w:r>
      <w:r w:rsidRPr="006F7E3E">
        <w:t xml:space="preserve">; </w:t>
      </w:r>
      <w:r w:rsidRPr="006F7E3E">
        <w:rPr>
          <w:rFonts w:cs="Arial"/>
          <w:i/>
        </w:rPr>
        <w:t>Ð</w:t>
      </w:r>
      <w:r w:rsidRPr="006F7E3E">
        <w:rPr>
          <w:rFonts w:cs="Arial"/>
          <w:vertAlign w:val="subscript"/>
        </w:rPr>
        <w:t>M</w:t>
      </w:r>
      <w:r w:rsidRPr="006F7E3E">
        <w:t xml:space="preserve"> = 1.24) was heterotactic (</w:t>
      </w:r>
      <w:r w:rsidRPr="006F7E3E">
        <w:rPr>
          <w:i/>
        </w:rPr>
        <w:t>P</w:t>
      </w:r>
      <w:r w:rsidRPr="006F7E3E">
        <w:rPr>
          <w:i/>
          <w:vertAlign w:val="subscript"/>
        </w:rPr>
        <w:t>m</w:t>
      </w:r>
      <w:r w:rsidRPr="006F7E3E">
        <w:t xml:space="preserve"> = 0.80)</w:t>
      </w:r>
      <w:r w:rsidR="006E4E7F" w:rsidRPr="006F7E3E">
        <w:t>,</w:t>
      </w:r>
      <w:r w:rsidRPr="006F7E3E">
        <w:t xml:space="preserve"> demonstrating that the propagating alcohol has an important impact on the polymerization propagating step. Considering the size and geometry of the achiral TBD molecule, along with its mode of action, proceeding through concurrent activation of both monomer and initiating/propagating alcohol [23],</w:t>
      </w:r>
      <w:r w:rsidRPr="006F7E3E">
        <w:rPr>
          <w:vertAlign w:val="superscript"/>
        </w:rPr>
        <w:t xml:space="preserve"> </w:t>
      </w:r>
      <w:r w:rsidRPr="006F7E3E">
        <w:t xml:space="preserve">we postulated that the </w:t>
      </w:r>
      <w:proofErr w:type="spellStart"/>
      <w:r w:rsidRPr="006F7E3E">
        <w:t>stereocontrol</w:t>
      </w:r>
      <w:proofErr w:type="spellEnd"/>
      <w:r w:rsidRPr="006F7E3E">
        <w:t xml:space="preserve"> of the cryogenic-based ROP must come from a perfect imbrication of both chiral LA and propagating chiral end-group both in interaction with the TBD catalyst, which is facilitated at low temperatures. To confirm this hypothesis, the reaction profiles corresponding to the first step of the ROP process were simulated with a quantum-chemical approach</w:t>
      </w:r>
      <w:r w:rsidR="006E4E7F" w:rsidRPr="006F7E3E">
        <w:t>,</w:t>
      </w:r>
      <w:r w:rsidRPr="006F7E3E">
        <w:t xml:space="preserve"> since earlier works [23,24]</w:t>
      </w:r>
      <w:r w:rsidR="006E4E7F" w:rsidRPr="006F7E3E">
        <w:t>,</w:t>
      </w:r>
      <w:r w:rsidRPr="006F7E3E">
        <w:t xml:space="preserve"> and a recent review devoted to organocatalytic ring-opening polymerization of cyclic esters [25]</w:t>
      </w:r>
      <w:r w:rsidR="006E4E7F" w:rsidRPr="006F7E3E">
        <w:t>,</w:t>
      </w:r>
      <w:r w:rsidRPr="006F7E3E">
        <w:t xml:space="preserve"> have pointed out that it is the rate-determining step. This step corresponds to the attack of the alcohol on the lactide activated by the TBD catalyst [23]. </w:t>
      </w:r>
    </w:p>
    <w:p w14:paraId="37563993" w14:textId="467BAB2E" w:rsidR="00300B22" w:rsidRPr="006F7E3E" w:rsidRDefault="00300B22" w:rsidP="00E93E70">
      <w:pPr>
        <w:pStyle w:val="MDPI31text"/>
      </w:pPr>
      <w:r w:rsidRPr="006F7E3E">
        <w:lastRenderedPageBreak/>
        <w:t>The simulations have been performed by using methyl (</w:t>
      </w:r>
      <w:r w:rsidRPr="006F7E3E">
        <w:rPr>
          <w:i/>
        </w:rPr>
        <w:t>L</w:t>
      </w:r>
      <w:r w:rsidRPr="006F7E3E">
        <w:t xml:space="preserve">)-lactate as </w:t>
      </w:r>
      <w:r w:rsidR="006E4E7F" w:rsidRPr="006F7E3E">
        <w:t xml:space="preserve">the </w:t>
      </w:r>
      <w:r w:rsidRPr="006F7E3E">
        <w:t>(</w:t>
      </w:r>
      <w:r w:rsidRPr="006F7E3E">
        <w:rPr>
          <w:i/>
        </w:rPr>
        <w:t>S</w:t>
      </w:r>
      <w:r w:rsidRPr="006F7E3E">
        <w:t>) chiral initiator</w:t>
      </w:r>
      <w:r w:rsidR="006E4E7F" w:rsidRPr="006F7E3E">
        <w:t>,</w:t>
      </w:r>
      <w:r w:rsidRPr="006F7E3E">
        <w:t xml:space="preserve"> and considering two possible complexes formed between the </w:t>
      </w:r>
      <w:r w:rsidRPr="006F7E3E">
        <w:rPr>
          <w:i/>
        </w:rPr>
        <w:t>meso</w:t>
      </w:r>
      <w:r w:rsidRPr="006F7E3E">
        <w:t>-lactide, the TBD and the (</w:t>
      </w:r>
      <w:r w:rsidRPr="006F7E3E">
        <w:rPr>
          <w:i/>
        </w:rPr>
        <w:t>S</w:t>
      </w:r>
      <w:r w:rsidRPr="006F7E3E">
        <w:t>) chiral alcohol (Scheme 1). The complex corresponding to the nucleophilic attack of the (</w:t>
      </w:r>
      <w:r w:rsidRPr="006F7E3E">
        <w:rPr>
          <w:i/>
        </w:rPr>
        <w:t>S</w:t>
      </w:r>
      <w:r w:rsidRPr="006F7E3E">
        <w:t>) alcohol on the carbonyl carbon adjacent to the (</w:t>
      </w:r>
      <w:r w:rsidRPr="006F7E3E">
        <w:rPr>
          <w:i/>
        </w:rPr>
        <w:t>S</w:t>
      </w:r>
      <w:r w:rsidRPr="006F7E3E">
        <w:t xml:space="preserve">)-stereocenter of the </w:t>
      </w:r>
      <w:r w:rsidRPr="006F7E3E">
        <w:rPr>
          <w:i/>
        </w:rPr>
        <w:t>meso</w:t>
      </w:r>
      <w:r w:rsidRPr="006F7E3E">
        <w:t>-lactide, which will give rise to a (</w:t>
      </w:r>
      <w:r w:rsidRPr="006F7E3E">
        <w:rPr>
          <w:i/>
        </w:rPr>
        <w:t>R</w:t>
      </w:r>
      <w:r w:rsidRPr="006F7E3E">
        <w:t>) chiral alcohol after ring-opening, is referred</w:t>
      </w:r>
      <w:r w:rsidR="006E4E7F" w:rsidRPr="006F7E3E">
        <w:t xml:space="preserve"> to</w:t>
      </w:r>
      <w:r w:rsidRPr="006F7E3E">
        <w:t xml:space="preserve"> as complex I. The complex corresponding to the nucleophilic attack of the (</w:t>
      </w:r>
      <w:r w:rsidRPr="006F7E3E">
        <w:rPr>
          <w:i/>
        </w:rPr>
        <w:t>S</w:t>
      </w:r>
      <w:r w:rsidRPr="006F7E3E">
        <w:t>) alcohol on the carbonyl carbon adjacent to the (</w:t>
      </w:r>
      <w:r w:rsidRPr="006F7E3E">
        <w:rPr>
          <w:i/>
        </w:rPr>
        <w:t>R</w:t>
      </w:r>
      <w:r w:rsidRPr="006F7E3E">
        <w:t xml:space="preserve">)-stereocenter of the </w:t>
      </w:r>
      <w:r w:rsidRPr="006F7E3E">
        <w:rPr>
          <w:i/>
        </w:rPr>
        <w:t>meso</w:t>
      </w:r>
      <w:r w:rsidRPr="006F7E3E">
        <w:t>-lactide, which will give rise to a (</w:t>
      </w:r>
      <w:r w:rsidRPr="006F7E3E">
        <w:rPr>
          <w:i/>
        </w:rPr>
        <w:t>S</w:t>
      </w:r>
      <w:r w:rsidRPr="006F7E3E">
        <w:t xml:space="preserve">) chiral alcohol after ring-opening, is referred </w:t>
      </w:r>
      <w:r w:rsidR="006E4E7F" w:rsidRPr="006F7E3E">
        <w:t xml:space="preserve">to </w:t>
      </w:r>
      <w:r w:rsidRPr="006F7E3E">
        <w:t>as complex II (Scheme 1).</w:t>
      </w:r>
    </w:p>
    <w:p w14:paraId="0926827D" w14:textId="77777777" w:rsidR="001E18A8" w:rsidRPr="006F7E3E" w:rsidRDefault="001E18A8" w:rsidP="001E18A8">
      <w:pPr>
        <w:pStyle w:val="MDPI52figure"/>
      </w:pPr>
      <w:r w:rsidRPr="006F7E3E">
        <w:rPr>
          <w:noProof/>
          <w:lang w:eastAsia="zh-CN" w:bidi="ar-SA"/>
        </w:rPr>
        <w:drawing>
          <wp:inline distT="0" distB="0" distL="0" distR="0" wp14:anchorId="3CD30ABD" wp14:editId="074FC9B5">
            <wp:extent cx="4377471" cy="4501515"/>
            <wp:effectExtent l="0" t="0" r="4445"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379768" cy="4503877"/>
                    </a:xfrm>
                    <a:prstGeom prst="rect">
                      <a:avLst/>
                    </a:prstGeom>
                    <a:noFill/>
                  </pic:spPr>
                </pic:pic>
              </a:graphicData>
            </a:graphic>
          </wp:inline>
        </w:drawing>
      </w:r>
    </w:p>
    <w:p w14:paraId="2568B421" w14:textId="77777777" w:rsidR="001E18A8" w:rsidRPr="006F7E3E" w:rsidRDefault="001E18A8" w:rsidP="001E18A8">
      <w:pPr>
        <w:pStyle w:val="MDPI51figurecaption"/>
      </w:pPr>
      <w:r w:rsidRPr="006F7E3E">
        <w:rPr>
          <w:b/>
        </w:rPr>
        <w:t xml:space="preserve">Scheme 1. </w:t>
      </w:r>
      <w:r w:rsidRPr="006F7E3E">
        <w:t xml:space="preserve">Ring-opening products obtained from complexes I and II formed between </w:t>
      </w:r>
      <w:r w:rsidRPr="006F7E3E">
        <w:rPr>
          <w:i/>
        </w:rPr>
        <w:t>meso</w:t>
      </w:r>
      <w:r w:rsidRPr="006F7E3E">
        <w:t>-LA, methyl (L)-lactate and TBD.</w:t>
      </w:r>
    </w:p>
    <w:p w14:paraId="62ED2B2A" w14:textId="77777777" w:rsidR="0076174F" w:rsidRPr="006F7E3E" w:rsidRDefault="00F808C7" w:rsidP="00E93E70">
      <w:pPr>
        <w:pStyle w:val="MDPI31text"/>
      </w:pPr>
      <w:r w:rsidRPr="006F7E3E">
        <w:t xml:space="preserve">For both complexes, we obtain transitions states corresponding to the concomitant attack of the oxygen </w:t>
      </w:r>
      <w:r w:rsidR="00077AA9" w:rsidRPr="006F7E3E">
        <w:t xml:space="preserve">atom of the alcohol </w:t>
      </w:r>
      <w:r w:rsidRPr="006F7E3E">
        <w:t xml:space="preserve">on the </w:t>
      </w:r>
      <w:r w:rsidR="00077AA9" w:rsidRPr="006F7E3E">
        <w:t xml:space="preserve">carbon atom of the </w:t>
      </w:r>
      <w:r w:rsidRPr="006F7E3E">
        <w:t>carbonyl</w:t>
      </w:r>
      <w:r w:rsidR="00077AA9" w:rsidRPr="006F7E3E">
        <w:t xml:space="preserve"> group</w:t>
      </w:r>
      <w:r w:rsidRPr="006F7E3E">
        <w:t xml:space="preserve">, the transfer of the hydrogen atom of the alcohol to the nitrogen </w:t>
      </w:r>
      <w:r w:rsidR="00077AA9" w:rsidRPr="006F7E3E">
        <w:t xml:space="preserve">atom </w:t>
      </w:r>
      <w:r w:rsidRPr="006F7E3E">
        <w:t>of TBD</w:t>
      </w:r>
      <w:r w:rsidR="006E4E7F" w:rsidRPr="006F7E3E">
        <w:t>,</w:t>
      </w:r>
      <w:r w:rsidRPr="006F7E3E">
        <w:t xml:space="preserve"> and the shift of the </w:t>
      </w:r>
      <w:r w:rsidR="00077AA9" w:rsidRPr="006F7E3E">
        <w:t xml:space="preserve">hydrogen atom on </w:t>
      </w:r>
      <w:r w:rsidRPr="006F7E3E">
        <w:t>TBD to</w:t>
      </w:r>
      <w:r w:rsidR="00077AA9" w:rsidRPr="006F7E3E">
        <w:t>wards</w:t>
      </w:r>
      <w:r w:rsidRPr="006F7E3E">
        <w:t xml:space="preserve"> the oxygen atom of the carbonyl moiety. This type of arrangement</w:t>
      </w:r>
      <w:r w:rsidR="00077AA9" w:rsidRPr="006F7E3E">
        <w:t>,</w:t>
      </w:r>
      <w:r w:rsidRPr="006F7E3E">
        <w:t xml:space="preserve"> which favors the ring opening of the lactide</w:t>
      </w:r>
      <w:r w:rsidR="0076174F" w:rsidRPr="006F7E3E">
        <w:t>,</w:t>
      </w:r>
      <w:r w:rsidRPr="006F7E3E">
        <w:t xml:space="preserve"> thanks to the concomitant activation of the lactide carbonyl and the alcohol from the catalyst</w:t>
      </w:r>
      <w:r w:rsidR="00077AA9" w:rsidRPr="006F7E3E">
        <w:t>,</w:t>
      </w:r>
      <w:r w:rsidRPr="006F7E3E">
        <w:t xml:space="preserve"> is similar to </w:t>
      </w:r>
      <w:r w:rsidR="00077AA9" w:rsidRPr="006F7E3E">
        <w:t>that</w:t>
      </w:r>
      <w:r w:rsidRPr="006F7E3E">
        <w:t xml:space="preserve"> described by </w:t>
      </w:r>
      <w:proofErr w:type="spellStart"/>
      <w:r w:rsidRPr="006F7E3E">
        <w:t>Chuma</w:t>
      </w:r>
      <w:proofErr w:type="spellEnd"/>
      <w:r w:rsidRPr="006F7E3E">
        <w:t xml:space="preserve"> </w:t>
      </w:r>
      <w:r w:rsidRPr="006F7E3E">
        <w:rPr>
          <w:iCs/>
        </w:rPr>
        <w:t>et al</w:t>
      </w:r>
      <w:r w:rsidRPr="006F7E3E">
        <w:t>.</w:t>
      </w:r>
      <w:r w:rsidR="00E93E70" w:rsidRPr="006F7E3E">
        <w:t xml:space="preserve"> </w:t>
      </w:r>
      <w:r w:rsidRPr="006F7E3E">
        <w:t>[23]</w:t>
      </w:r>
      <w:r w:rsidR="00FE0411" w:rsidRPr="006F7E3E">
        <w:t>.</w:t>
      </w:r>
      <w:r w:rsidRPr="006F7E3E">
        <w:t xml:space="preserve"> Moreover, those structures are particularly favorable to the formation of the polymer chain</w:t>
      </w:r>
      <w:r w:rsidR="00077AA9" w:rsidRPr="006F7E3E">
        <w:t>,</w:t>
      </w:r>
      <w:r w:rsidRPr="006F7E3E">
        <w:t xml:space="preserve"> due to the proximity between the proton transferred to the catalyst and the oxygen </w:t>
      </w:r>
      <w:r w:rsidR="00077AA9" w:rsidRPr="006F7E3E">
        <w:t xml:space="preserve">atom </w:t>
      </w:r>
      <w:r w:rsidRPr="006F7E3E">
        <w:t>of the lactide ring (</w:t>
      </w:r>
      <w:r w:rsidR="00DA0F93" w:rsidRPr="006F7E3E">
        <w:t xml:space="preserve">Figure </w:t>
      </w:r>
      <w:r w:rsidRPr="006F7E3E">
        <w:t>S9). The energy barriers between reactants and transition states have then been estimated by performing internal reaction coordinate (IRC) calculations from the transition states (</w:t>
      </w:r>
      <w:r w:rsidR="00DA0F93" w:rsidRPr="006F7E3E">
        <w:t xml:space="preserve">Figure </w:t>
      </w:r>
      <w:r w:rsidRPr="006F7E3E">
        <w:t>S9). Interestingly, they differ by 2.61 kcal.mol</w:t>
      </w:r>
      <w:r w:rsidR="003F6CE1" w:rsidRPr="006F7E3E">
        <w:rPr>
          <w:vertAlign w:val="superscript"/>
        </w:rPr>
        <w:t>−1</w:t>
      </w:r>
      <w:r w:rsidRPr="006F7E3E">
        <w:t xml:space="preserve"> in favor of complex I. The difference arises mainly from a much shorter distance between the oxygen</w:t>
      </w:r>
      <w:r w:rsidR="00077AA9" w:rsidRPr="006F7E3E">
        <w:t xml:space="preserve"> atom of the</w:t>
      </w:r>
      <w:r w:rsidRPr="006F7E3E">
        <w:t xml:space="preserve"> alcohol and the </w:t>
      </w:r>
      <w:r w:rsidR="00077AA9" w:rsidRPr="006F7E3E">
        <w:t xml:space="preserve">carbon atom of the </w:t>
      </w:r>
      <w:r w:rsidRPr="006F7E3E">
        <w:t xml:space="preserve">carbonyl </w:t>
      </w:r>
      <w:r w:rsidR="00077AA9" w:rsidRPr="006F7E3E">
        <w:t>group on</w:t>
      </w:r>
      <w:r w:rsidRPr="006F7E3E">
        <w:t xml:space="preserve"> the lactide for complex I in the reactant geometry (2.62 </w:t>
      </w:r>
      <w:r w:rsidR="0064400C" w:rsidRPr="006F7E3E">
        <w:t>Å</w:t>
      </w:r>
      <w:r w:rsidR="003F6CE1" w:rsidRPr="006F7E3E">
        <w:t xml:space="preserve"> vs. </w:t>
      </w:r>
      <w:r w:rsidRPr="006F7E3E">
        <w:t xml:space="preserve">2.79 Å, </w:t>
      </w:r>
      <w:r w:rsidR="00DA0F93" w:rsidRPr="006F7E3E">
        <w:t xml:space="preserve">Figure </w:t>
      </w:r>
      <w:r w:rsidRPr="006F7E3E">
        <w:t xml:space="preserve">S8). Such close contact geometry is therefore more efficient to form a chemical bond and requires less structural deformation. </w:t>
      </w:r>
    </w:p>
    <w:p w14:paraId="193DE4F7" w14:textId="02BD4485" w:rsidR="00F808C7" w:rsidRPr="006F7E3E" w:rsidRDefault="00F808C7" w:rsidP="00E93E70">
      <w:pPr>
        <w:pStyle w:val="MDPI31text"/>
      </w:pPr>
      <w:r w:rsidRPr="006F7E3E">
        <w:lastRenderedPageBreak/>
        <w:t>These results suggest that the nucleophilic attack of a (</w:t>
      </w:r>
      <w:r w:rsidRPr="006F7E3E">
        <w:rPr>
          <w:i/>
        </w:rPr>
        <w:t>S</w:t>
      </w:r>
      <w:r w:rsidRPr="006F7E3E">
        <w:t>) chiral alcohol will lead to a polymer chain bearing a (</w:t>
      </w:r>
      <w:r w:rsidRPr="006F7E3E">
        <w:rPr>
          <w:i/>
        </w:rPr>
        <w:t>R</w:t>
      </w:r>
      <w:r w:rsidRPr="006F7E3E">
        <w:t>) chiral chain end. If we consider the attack of a (</w:t>
      </w:r>
      <w:r w:rsidRPr="006F7E3E">
        <w:rPr>
          <w:i/>
          <w:iCs/>
        </w:rPr>
        <w:t>R</w:t>
      </w:r>
      <w:r w:rsidRPr="006F7E3E">
        <w:t xml:space="preserve">) chiral alcohol on </w:t>
      </w:r>
      <w:r w:rsidRPr="006F7E3E">
        <w:rPr>
          <w:i/>
          <w:iCs/>
        </w:rPr>
        <w:t>meso</w:t>
      </w:r>
      <w:r w:rsidRPr="006F7E3E">
        <w:t xml:space="preserve">-lactide, we expect the opposite result, </w:t>
      </w:r>
      <w:r w:rsidR="00077AA9" w:rsidRPr="006F7E3E">
        <w:t>i.e.,</w:t>
      </w:r>
      <w:r w:rsidRPr="006F7E3E">
        <w:t xml:space="preserve"> the nucleophilic attack of a (</w:t>
      </w:r>
      <w:r w:rsidRPr="006F7E3E">
        <w:rPr>
          <w:i/>
        </w:rPr>
        <w:t>R</w:t>
      </w:r>
      <w:r w:rsidRPr="006F7E3E">
        <w:t>) chiral alcohol would lead preferentially to a new (</w:t>
      </w:r>
      <w:r w:rsidRPr="006F7E3E">
        <w:rPr>
          <w:i/>
        </w:rPr>
        <w:t>S</w:t>
      </w:r>
      <w:r w:rsidRPr="006F7E3E">
        <w:t>) chiral chain end</w:t>
      </w:r>
      <w:r w:rsidR="00D52803" w:rsidRPr="006F7E3E">
        <w:t>,</w:t>
      </w:r>
      <w:r w:rsidRPr="006F7E3E">
        <w:t xml:space="preserve"> as observed during the experiments. All together, these calculations allow to rationalize the observed </w:t>
      </w:r>
      <w:proofErr w:type="spellStart"/>
      <w:r w:rsidRPr="006F7E3E">
        <w:t>heterotacticity</w:t>
      </w:r>
      <w:proofErr w:type="spellEnd"/>
      <w:r w:rsidRPr="006F7E3E">
        <w:t xml:space="preserve"> of the polymer (resulting from </w:t>
      </w:r>
      <w:proofErr w:type="spellStart"/>
      <w:r w:rsidRPr="006F7E3E">
        <w:t>isoselectivity</w:t>
      </w:r>
      <w:proofErr w:type="spellEnd"/>
      <w:r w:rsidRPr="006F7E3E">
        <w:t>)</w:t>
      </w:r>
      <w:r w:rsidR="0076174F" w:rsidRPr="006F7E3E">
        <w:t>,</w:t>
      </w:r>
      <w:r w:rsidRPr="006F7E3E">
        <w:t xml:space="preserve"> and therefore suggest that, when applied to </w:t>
      </w:r>
      <w:proofErr w:type="spellStart"/>
      <w:r w:rsidRPr="006F7E3E">
        <w:rPr>
          <w:i/>
        </w:rPr>
        <w:t>rac</w:t>
      </w:r>
      <w:proofErr w:type="spellEnd"/>
      <w:r w:rsidRPr="006F7E3E">
        <w:t>-LA, one of the two isomers will be polymerized predominantly over the other one, consistent with our experimental results.</w:t>
      </w:r>
    </w:p>
    <w:p w14:paraId="7E3FAAA5" w14:textId="3F5B7ABA" w:rsidR="00807E37" w:rsidRPr="006F7E3E" w:rsidRDefault="00E93E70" w:rsidP="00E93E70">
      <w:pPr>
        <w:pStyle w:val="MDPI21heading1"/>
      </w:pPr>
      <w:r w:rsidRPr="006F7E3E">
        <w:rPr>
          <w:lang w:eastAsia="zh-CN"/>
        </w:rPr>
        <w:t xml:space="preserve">3. </w:t>
      </w:r>
      <w:r w:rsidRPr="006F7E3E">
        <w:t>Materials and Methods</w:t>
      </w:r>
    </w:p>
    <w:p w14:paraId="6B0D5571" w14:textId="1D9C8A91" w:rsidR="00AF6500" w:rsidRPr="006F7E3E" w:rsidRDefault="00AF6500" w:rsidP="00AF6500">
      <w:pPr>
        <w:pStyle w:val="MDPI22heading2"/>
      </w:pPr>
      <w:r w:rsidRPr="006F7E3E">
        <w:t>3.1. Materials</w:t>
      </w:r>
    </w:p>
    <w:p w14:paraId="6B826EF4" w14:textId="7CA52797" w:rsidR="00FB48E0" w:rsidRPr="006F7E3E" w:rsidRDefault="00FB48E0" w:rsidP="00AF6500">
      <w:pPr>
        <w:pStyle w:val="MDPI31text"/>
      </w:pPr>
      <w:r w:rsidRPr="006F7E3E">
        <w:rPr>
          <w:lang w:eastAsia="fr-BE"/>
        </w:rPr>
        <w:t>Benzyl alcohol (</w:t>
      </w:r>
      <w:proofErr w:type="spellStart"/>
      <w:r w:rsidRPr="006F7E3E">
        <w:rPr>
          <w:lang w:eastAsia="fr-BE"/>
        </w:rPr>
        <w:t>BnOH</w:t>
      </w:r>
      <w:proofErr w:type="spellEnd"/>
      <w:r w:rsidRPr="006F7E3E">
        <w:rPr>
          <w:lang w:eastAsia="fr-BE"/>
        </w:rPr>
        <w:t xml:space="preserve">, from </w:t>
      </w:r>
      <w:commentRangeStart w:id="14"/>
      <w:r w:rsidRPr="006F7E3E">
        <w:rPr>
          <w:lang w:eastAsia="fr-BE"/>
        </w:rPr>
        <w:t>Sigma,</w:t>
      </w:r>
      <w:commentRangeEnd w:id="14"/>
      <w:r w:rsidR="00AF6500" w:rsidRPr="006F7E3E">
        <w:rPr>
          <w:rStyle w:val="Marquedecommentaire"/>
          <w:rFonts w:ascii="Times New Roman" w:hAnsi="Times New Roman"/>
          <w:snapToGrid/>
          <w:lang w:bidi="ar-SA"/>
        </w:rPr>
        <w:commentReference w:id="14"/>
      </w:r>
      <w:r w:rsidRPr="006F7E3E">
        <w:rPr>
          <w:lang w:eastAsia="fr-BE"/>
        </w:rPr>
        <w:t xml:space="preserve"> 97%) was dried over calcium hydride for 48 h at room temperature and distilled under reduced pressure and stored in a </w:t>
      </w:r>
      <w:proofErr w:type="spellStart"/>
      <w:r w:rsidRPr="006F7E3E">
        <w:rPr>
          <w:lang w:eastAsia="fr-BE"/>
        </w:rPr>
        <w:t>MBraun</w:t>
      </w:r>
      <w:proofErr w:type="spellEnd"/>
      <w:r w:rsidRPr="006F7E3E">
        <w:rPr>
          <w:lang w:eastAsia="fr-BE"/>
        </w:rPr>
        <w:t xml:space="preserve"> LABM-1973 glove box. </w:t>
      </w:r>
      <w:r w:rsidRPr="006F7E3E">
        <w:rPr>
          <w:rFonts w:cs="TimesNewRomanPSMT"/>
          <w:i/>
        </w:rPr>
        <w:t>L</w:t>
      </w:r>
      <w:r w:rsidRPr="006F7E3E">
        <w:rPr>
          <w:rFonts w:cs="TimesNewRomanPSMT"/>
        </w:rPr>
        <w:t xml:space="preserve">-, </w:t>
      </w:r>
      <w:r w:rsidRPr="006F7E3E">
        <w:rPr>
          <w:rFonts w:cs="TimesNewRomanPSMT"/>
          <w:i/>
        </w:rPr>
        <w:t>D</w:t>
      </w:r>
      <w:r w:rsidRPr="006F7E3E">
        <w:rPr>
          <w:rFonts w:cs="TimesNewRomanPSMT"/>
        </w:rPr>
        <w:t xml:space="preserve">- and </w:t>
      </w:r>
      <w:r w:rsidRPr="006F7E3E">
        <w:rPr>
          <w:rFonts w:cs="TimesNewRomanPSMT"/>
          <w:i/>
        </w:rPr>
        <w:t>meso</w:t>
      </w:r>
      <w:r w:rsidRPr="006F7E3E">
        <w:rPr>
          <w:rFonts w:cs="TimesNewRomanPSMT"/>
        </w:rPr>
        <w:t>-lactides (</w:t>
      </w:r>
      <w:r w:rsidRPr="006F7E3E">
        <w:rPr>
          <w:rFonts w:cs="TimesNewRomanPSMT"/>
          <w:i/>
        </w:rPr>
        <w:t>L</w:t>
      </w:r>
      <w:r w:rsidRPr="006F7E3E">
        <w:rPr>
          <w:rFonts w:cs="TimesNewRomanPSMT"/>
        </w:rPr>
        <w:t xml:space="preserve">-LA, </w:t>
      </w:r>
      <w:r w:rsidRPr="006F7E3E">
        <w:rPr>
          <w:rFonts w:cs="TimesNewRomanPSMT"/>
          <w:i/>
        </w:rPr>
        <w:t>D</w:t>
      </w:r>
      <w:r w:rsidRPr="006F7E3E">
        <w:rPr>
          <w:rFonts w:cs="TimesNewRomanPSMT"/>
        </w:rPr>
        <w:t xml:space="preserve">-LA and </w:t>
      </w:r>
      <w:r w:rsidRPr="006F7E3E">
        <w:rPr>
          <w:rFonts w:cs="TimesNewRomanPSMT"/>
          <w:i/>
        </w:rPr>
        <w:t>meso</w:t>
      </w:r>
      <w:r w:rsidRPr="006F7E3E">
        <w:rPr>
          <w:rFonts w:cs="TimesNewRomanPSMT"/>
        </w:rPr>
        <w:t xml:space="preserve">-LA, </w:t>
      </w:r>
      <w:proofErr w:type="spellStart"/>
      <w:r w:rsidRPr="006F7E3E">
        <w:rPr>
          <w:rFonts w:cs="TimesNewRomanPSMT"/>
        </w:rPr>
        <w:t>Corbion</w:t>
      </w:r>
      <w:proofErr w:type="spellEnd"/>
      <w:r w:rsidRPr="006F7E3E">
        <w:rPr>
          <w:rFonts w:cs="TimesNewRomanPSMT"/>
        </w:rPr>
        <w:t xml:space="preserve"> </w:t>
      </w:r>
      <w:proofErr w:type="spellStart"/>
      <w:r w:rsidRPr="006F7E3E">
        <w:rPr>
          <w:rFonts w:cs="TimesNewRomanPSMT"/>
        </w:rPr>
        <w:t>Purac</w:t>
      </w:r>
      <w:proofErr w:type="spellEnd"/>
      <w:r w:rsidRPr="006F7E3E">
        <w:rPr>
          <w:rFonts w:cs="TimesNewRomanPSMT"/>
        </w:rPr>
        <w:t xml:space="preserve">) </w:t>
      </w:r>
      <w:r w:rsidRPr="006F7E3E">
        <w:t xml:space="preserve">were recrystallized three times from dried toluene and stored in a glove box under dry nitrogen atmosphere before use. 1,5,7-Triazabicyclododecene (TBD, </w:t>
      </w:r>
      <w:proofErr w:type="spellStart"/>
      <w:r w:rsidRPr="006F7E3E">
        <w:t>Acros</w:t>
      </w:r>
      <w:proofErr w:type="spellEnd"/>
      <w:r w:rsidRPr="006F7E3E">
        <w:t xml:space="preserve">) was dried under vacuum at 80 °C for 12 h and stored in a glove box. </w:t>
      </w:r>
      <w:r w:rsidRPr="006F7E3E">
        <w:rPr>
          <w:rFonts w:cs="TimesNewRomanPSMT"/>
        </w:rPr>
        <w:t>T</w:t>
      </w:r>
      <w:r w:rsidRPr="006F7E3E">
        <w:t>oluene and CH</w:t>
      </w:r>
      <w:r w:rsidRPr="006F7E3E">
        <w:rPr>
          <w:vertAlign w:val="subscript"/>
        </w:rPr>
        <w:t>2</w:t>
      </w:r>
      <w:r w:rsidRPr="006F7E3E">
        <w:t>Cl</w:t>
      </w:r>
      <w:r w:rsidRPr="006F7E3E">
        <w:rPr>
          <w:vertAlign w:val="subscript"/>
        </w:rPr>
        <w:t>2</w:t>
      </w:r>
      <w:r w:rsidRPr="006F7E3E">
        <w:t xml:space="preserve"> (DCM) solvents were dried using a </w:t>
      </w:r>
      <w:proofErr w:type="spellStart"/>
      <w:r w:rsidRPr="006F7E3E">
        <w:t>MBraun</w:t>
      </w:r>
      <w:proofErr w:type="spellEnd"/>
      <w:r w:rsidRPr="006F7E3E">
        <w:t xml:space="preserve"> Solvent Purification System (model MB-SPS 800) equipped with alumina drying columns.</w:t>
      </w:r>
    </w:p>
    <w:p w14:paraId="2C451254" w14:textId="63645CF5" w:rsidR="00AF6500" w:rsidRPr="006F7E3E" w:rsidRDefault="00AF6500" w:rsidP="00AF6500">
      <w:pPr>
        <w:pStyle w:val="MDPI22heading2"/>
      </w:pPr>
      <w:r w:rsidRPr="006F7E3E">
        <w:t xml:space="preserve">3.2. </w:t>
      </w:r>
      <w:r w:rsidR="00FB48E0" w:rsidRPr="006F7E3E">
        <w:t>C</w:t>
      </w:r>
      <w:r w:rsidRPr="006F7E3E">
        <w:t>haracterization Techniques</w:t>
      </w:r>
    </w:p>
    <w:p w14:paraId="05E77FF4" w14:textId="2050C503" w:rsidR="00FB48E0" w:rsidRPr="006F7E3E" w:rsidRDefault="00FB48E0" w:rsidP="00AF6500">
      <w:pPr>
        <w:pStyle w:val="MDPI31text"/>
        <w:rPr>
          <w:b/>
          <w:i/>
          <w:color w:val="auto"/>
        </w:rPr>
      </w:pPr>
      <w:r w:rsidRPr="006F7E3E">
        <w:rPr>
          <w:vertAlign w:val="superscript"/>
        </w:rPr>
        <w:t>1</w:t>
      </w:r>
      <w:r w:rsidRPr="006F7E3E">
        <w:t xml:space="preserve">H NMR and homonuclear decoupled </w:t>
      </w:r>
      <w:r w:rsidRPr="006F7E3E">
        <w:rPr>
          <w:vertAlign w:val="superscript"/>
        </w:rPr>
        <w:t>1</w:t>
      </w:r>
      <w:r w:rsidRPr="006F7E3E">
        <w:t xml:space="preserve">H NMR measurements were performed at room temperature on </w:t>
      </w:r>
      <w:r w:rsidR="001C03B2" w:rsidRPr="006F7E3E">
        <w:t xml:space="preserve">a </w:t>
      </w:r>
      <w:r w:rsidRPr="006F7E3E">
        <w:t xml:space="preserve">Bruker </w:t>
      </w:r>
      <w:proofErr w:type="spellStart"/>
      <w:r w:rsidRPr="006F7E3E">
        <w:t>Avance</w:t>
      </w:r>
      <w:proofErr w:type="spellEnd"/>
      <w:r w:rsidRPr="006F7E3E">
        <w:t xml:space="preserve"> instrument at 400 </w:t>
      </w:r>
      <w:proofErr w:type="spellStart"/>
      <w:r w:rsidRPr="006F7E3E">
        <w:t>MHz.</w:t>
      </w:r>
      <w:proofErr w:type="spellEnd"/>
      <w:r w:rsidRPr="006F7E3E">
        <w:t xml:space="preserve"> CDCl</w:t>
      </w:r>
      <w:r w:rsidRPr="006F7E3E">
        <w:rPr>
          <w:vertAlign w:val="subscript"/>
        </w:rPr>
        <w:t>3</w:t>
      </w:r>
      <w:r w:rsidRPr="006F7E3E">
        <w:t xml:space="preserve"> was used as an internal reference (</w:t>
      </w:r>
      <w:r w:rsidRPr="006F7E3E">
        <w:rPr>
          <w:shd w:val="clear" w:color="auto" w:fill="FFFFFF"/>
        </w:rPr>
        <w:t>δ = 7.26)</w:t>
      </w:r>
      <w:r w:rsidR="00097EFC" w:rsidRPr="006F7E3E">
        <w:rPr>
          <w:shd w:val="clear" w:color="auto" w:fill="FFFFFF"/>
        </w:rPr>
        <w:t>,</w:t>
      </w:r>
      <w:r w:rsidRPr="006F7E3E">
        <w:rPr>
          <w:shd w:val="clear" w:color="auto" w:fill="FFFFFF"/>
        </w:rPr>
        <w:t xml:space="preserve"> and the relaxation time was </w:t>
      </w:r>
      <w:r w:rsidR="001C03B2" w:rsidRPr="006F7E3E">
        <w:rPr>
          <w:shd w:val="clear" w:color="auto" w:fill="FFFFFF"/>
        </w:rPr>
        <w:t xml:space="preserve">set </w:t>
      </w:r>
      <w:r w:rsidRPr="006F7E3E">
        <w:rPr>
          <w:shd w:val="clear" w:color="auto" w:fill="FFFFFF"/>
        </w:rPr>
        <w:t xml:space="preserve">to 2 s. For homonuclear decoupled </w:t>
      </w:r>
      <w:r w:rsidRPr="006F7E3E">
        <w:rPr>
          <w:shd w:val="clear" w:color="auto" w:fill="FFFFFF"/>
          <w:vertAlign w:val="superscript"/>
        </w:rPr>
        <w:t>1</w:t>
      </w:r>
      <w:r w:rsidRPr="006F7E3E">
        <w:rPr>
          <w:shd w:val="clear" w:color="auto" w:fill="FFFFFF"/>
        </w:rPr>
        <w:t xml:space="preserve">H NMR analysis, </w:t>
      </w:r>
      <w:r w:rsidR="001C03B2" w:rsidRPr="006F7E3E">
        <w:rPr>
          <w:shd w:val="clear" w:color="auto" w:fill="FFFFFF"/>
        </w:rPr>
        <w:t xml:space="preserve">the </w:t>
      </w:r>
      <w:r w:rsidRPr="006F7E3E">
        <w:rPr>
          <w:shd w:val="clear" w:color="auto" w:fill="FFFFFF"/>
        </w:rPr>
        <w:t xml:space="preserve">relaxation time was measured and </w:t>
      </w:r>
      <w:r w:rsidR="001C03B2" w:rsidRPr="006F7E3E">
        <w:rPr>
          <w:shd w:val="clear" w:color="auto" w:fill="FFFFFF"/>
        </w:rPr>
        <w:t xml:space="preserve">set </w:t>
      </w:r>
      <w:r w:rsidRPr="006F7E3E">
        <w:rPr>
          <w:shd w:val="clear" w:color="auto" w:fill="FFFFFF"/>
        </w:rPr>
        <w:t>to 2.04 s. Samples were obtained in CDCl</w:t>
      </w:r>
      <w:r w:rsidRPr="006F7E3E">
        <w:rPr>
          <w:vertAlign w:val="subscript"/>
        </w:rPr>
        <w:t xml:space="preserve">3 </w:t>
      </w:r>
      <w:r w:rsidRPr="006F7E3E">
        <w:t xml:space="preserve">solutions with the decoupling pulse based on the methyl region (~1.6 ppm). In the case of good resolution of </w:t>
      </w:r>
      <w:r w:rsidR="00097EFC" w:rsidRPr="006F7E3E">
        <w:t xml:space="preserve">the </w:t>
      </w:r>
      <w:r w:rsidRPr="006F7E3E">
        <w:t>methine region (~5.00</w:t>
      </w:r>
      <w:r w:rsidR="00E93E70" w:rsidRPr="006F7E3E">
        <w:t>–</w:t>
      </w:r>
      <w:r w:rsidRPr="006F7E3E">
        <w:t>5.20 ppm)</w:t>
      </w:r>
      <w:r w:rsidR="001C03B2" w:rsidRPr="006F7E3E">
        <w:t>, the</w:t>
      </w:r>
      <w:r w:rsidRPr="006F7E3E">
        <w:t xml:space="preserve"> global spectral deconvolution technique was implemented by</w:t>
      </w:r>
      <w:r w:rsidR="00097EFC" w:rsidRPr="006F7E3E">
        <w:t xml:space="preserve"> an</w:t>
      </w:r>
      <w:r w:rsidRPr="006F7E3E">
        <w:t xml:space="preserve"> attribution of five </w:t>
      </w:r>
      <w:proofErr w:type="spellStart"/>
      <w:r w:rsidRPr="006F7E3E">
        <w:t>mesodyads</w:t>
      </w:r>
      <w:proofErr w:type="spellEnd"/>
      <w:r w:rsidRPr="006F7E3E">
        <w:t xml:space="preserve">. Size-exclusion chromatography (SEC) </w:t>
      </w:r>
      <w:r w:rsidRPr="006F7E3E">
        <w:rPr>
          <w:shd w:val="clear" w:color="auto" w:fill="FFFFFF"/>
        </w:rPr>
        <w:t xml:space="preserve">was performed </w:t>
      </w:r>
      <w:r w:rsidR="001C03B2" w:rsidRPr="006F7E3E">
        <w:rPr>
          <w:shd w:val="clear" w:color="auto" w:fill="FFFFFF"/>
        </w:rPr>
        <w:t xml:space="preserve">at </w:t>
      </w:r>
      <w:r w:rsidRPr="006F7E3E">
        <w:rPr>
          <w:shd w:val="clear" w:color="auto" w:fill="FFFFFF"/>
        </w:rPr>
        <w:t xml:space="preserve">room temperature </w:t>
      </w:r>
      <w:r w:rsidRPr="006F7E3E">
        <w:t xml:space="preserve">using tetrahydrofuran (THF) </w:t>
      </w:r>
      <w:r w:rsidRPr="006F7E3E">
        <w:rPr>
          <w:shd w:val="clear" w:color="auto" w:fill="FFFFFF"/>
        </w:rPr>
        <w:t xml:space="preserve">as the eluent at a flow rate of 1.0 mL/min. </w:t>
      </w:r>
      <w:r w:rsidR="00097EFC" w:rsidRPr="006F7E3E">
        <w:rPr>
          <w:shd w:val="clear" w:color="auto" w:fill="FFFFFF"/>
        </w:rPr>
        <w:t xml:space="preserve">A </w:t>
      </w:r>
      <w:r w:rsidRPr="006F7E3E">
        <w:rPr>
          <w:shd w:val="clear" w:color="auto" w:fill="FFFFFF"/>
        </w:rPr>
        <w:t xml:space="preserve">5 mg/mL sample was used for each analysis. </w:t>
      </w:r>
      <w:r w:rsidR="001C03B2" w:rsidRPr="006F7E3E">
        <w:rPr>
          <w:shd w:val="clear" w:color="auto" w:fill="FFFFFF"/>
        </w:rPr>
        <w:t>The c</w:t>
      </w:r>
      <w:r w:rsidRPr="006F7E3E">
        <w:rPr>
          <w:shd w:val="clear" w:color="auto" w:fill="FFFFFF"/>
        </w:rPr>
        <w:t xml:space="preserve">alibration was performed with polystyrene standard (PS). </w:t>
      </w:r>
      <w:r w:rsidR="001C03B2" w:rsidRPr="006F7E3E">
        <w:rPr>
          <w:shd w:val="clear" w:color="auto" w:fill="FFFFFF"/>
        </w:rPr>
        <w:t xml:space="preserve">A </w:t>
      </w:r>
      <w:r w:rsidR="00097EFC" w:rsidRPr="006F7E3E">
        <w:rPr>
          <w:shd w:val="clear" w:color="auto" w:fill="FFFFFF"/>
        </w:rPr>
        <w:t>d</w:t>
      </w:r>
      <w:r w:rsidRPr="006F7E3E">
        <w:rPr>
          <w:shd w:val="clear" w:color="auto" w:fill="FFFFFF"/>
        </w:rPr>
        <w:t>ifferential refractive index (RI) detector was used.</w:t>
      </w:r>
      <w:r w:rsidR="001C03B2" w:rsidRPr="006F7E3E">
        <w:rPr>
          <w:shd w:val="clear" w:color="auto" w:fill="FFFFFF"/>
        </w:rPr>
        <w:t xml:space="preserve"> The</w:t>
      </w:r>
      <w:r w:rsidRPr="006F7E3E">
        <w:rPr>
          <w:shd w:val="clear" w:color="auto" w:fill="FFFFFF"/>
        </w:rPr>
        <w:t xml:space="preserve"> </w:t>
      </w:r>
      <w:r w:rsidRPr="006F7E3E">
        <w:rPr>
          <w:i/>
          <w:shd w:val="clear" w:color="auto" w:fill="FFFFFF"/>
        </w:rPr>
        <w:t>M</w:t>
      </w:r>
      <w:r w:rsidRPr="006F7E3E">
        <w:rPr>
          <w:i/>
          <w:shd w:val="clear" w:color="auto" w:fill="FFFFFF"/>
          <w:vertAlign w:val="subscript"/>
        </w:rPr>
        <w:t>n</w:t>
      </w:r>
      <w:r w:rsidRPr="006F7E3E">
        <w:rPr>
          <w:shd w:val="clear" w:color="auto" w:fill="FFFFFF"/>
        </w:rPr>
        <w:t xml:space="preserve"> values </w:t>
      </w:r>
      <w:r w:rsidR="001C03B2" w:rsidRPr="006F7E3E">
        <w:rPr>
          <w:shd w:val="clear" w:color="auto" w:fill="FFFFFF"/>
        </w:rPr>
        <w:t xml:space="preserve">that </w:t>
      </w:r>
      <w:r w:rsidRPr="006F7E3E">
        <w:rPr>
          <w:shd w:val="clear" w:color="auto" w:fill="FFFFFF"/>
        </w:rPr>
        <w:t xml:space="preserve">were obtained by SEC </w:t>
      </w:r>
      <w:r w:rsidR="001C03B2" w:rsidRPr="006F7E3E">
        <w:rPr>
          <w:shd w:val="clear" w:color="auto" w:fill="FFFFFF"/>
        </w:rPr>
        <w:t xml:space="preserve">are </w:t>
      </w:r>
      <w:r w:rsidRPr="006F7E3E">
        <w:rPr>
          <w:shd w:val="clear" w:color="auto" w:fill="FFFFFF"/>
        </w:rPr>
        <w:t>multiplied by</w:t>
      </w:r>
      <w:r w:rsidR="001C03B2" w:rsidRPr="006F7E3E">
        <w:rPr>
          <w:shd w:val="clear" w:color="auto" w:fill="FFFFFF"/>
        </w:rPr>
        <w:t xml:space="preserve"> a</w:t>
      </w:r>
      <w:r w:rsidRPr="006F7E3E">
        <w:rPr>
          <w:shd w:val="clear" w:color="auto" w:fill="FFFFFF"/>
        </w:rPr>
        <w:t xml:space="preserve"> 0.58 correlation factor for PLA </w:t>
      </w:r>
      <w:r w:rsidR="001C03B2" w:rsidRPr="006F7E3E">
        <w:rPr>
          <w:shd w:val="clear" w:color="auto" w:fill="FFFFFF"/>
        </w:rPr>
        <w:t xml:space="preserve">analyzed </w:t>
      </w:r>
      <w:r w:rsidRPr="006F7E3E">
        <w:rPr>
          <w:shd w:val="clear" w:color="auto" w:fill="FFFFFF"/>
        </w:rPr>
        <w:t>with PS standards</w:t>
      </w:r>
      <w:r w:rsidR="001C03B2" w:rsidRPr="006F7E3E">
        <w:rPr>
          <w:shd w:val="clear" w:color="auto" w:fill="FFFFFF"/>
        </w:rPr>
        <w:t>,</w:t>
      </w:r>
      <w:r w:rsidRPr="006F7E3E">
        <w:rPr>
          <w:shd w:val="clear" w:color="auto" w:fill="FFFFFF"/>
        </w:rPr>
        <w:t xml:space="preserve"> corresponding to the Mark </w:t>
      </w:r>
      <w:proofErr w:type="spellStart"/>
      <w:r w:rsidRPr="006F7E3E">
        <w:rPr>
          <w:shd w:val="clear" w:color="auto" w:fill="FFFFFF"/>
        </w:rPr>
        <w:t>Houwink</w:t>
      </w:r>
      <w:proofErr w:type="spellEnd"/>
      <w:r w:rsidRPr="006F7E3E">
        <w:rPr>
          <w:shd w:val="clear" w:color="auto" w:fill="FFFFFF"/>
        </w:rPr>
        <w:t xml:space="preserve"> equation. </w:t>
      </w:r>
      <w:proofErr w:type="spellStart"/>
      <w:r w:rsidRPr="006F7E3E">
        <w:rPr>
          <w:i/>
        </w:rPr>
        <w:t>T</w:t>
      </w:r>
      <w:r w:rsidRPr="006F7E3E">
        <w:rPr>
          <w:i/>
          <w:vertAlign w:val="subscript"/>
        </w:rPr>
        <w:t>g</w:t>
      </w:r>
      <w:proofErr w:type="spellEnd"/>
      <w:r w:rsidRPr="006F7E3E">
        <w:t xml:space="preserve">, </w:t>
      </w:r>
      <w:r w:rsidRPr="006F7E3E">
        <w:rPr>
          <w:i/>
        </w:rPr>
        <w:t>T</w:t>
      </w:r>
      <w:r w:rsidRPr="006F7E3E">
        <w:rPr>
          <w:i/>
          <w:vertAlign w:val="subscript"/>
        </w:rPr>
        <w:t>m</w:t>
      </w:r>
      <w:r w:rsidRPr="006F7E3E">
        <w:t xml:space="preserve"> and </w:t>
      </w:r>
      <w:proofErr w:type="spellStart"/>
      <w:r w:rsidRPr="006F7E3E">
        <w:t>Δ</w:t>
      </w:r>
      <w:r w:rsidRPr="006F7E3E">
        <w:rPr>
          <w:i/>
        </w:rPr>
        <w:t>H</w:t>
      </w:r>
      <w:r w:rsidRPr="006F7E3E">
        <w:rPr>
          <w:vertAlign w:val="subscript"/>
        </w:rPr>
        <w:t>m</w:t>
      </w:r>
      <w:proofErr w:type="spellEnd"/>
      <w:r w:rsidRPr="006F7E3E">
        <w:rPr>
          <w:vertAlign w:val="subscript"/>
        </w:rPr>
        <w:t xml:space="preserve"> </w:t>
      </w:r>
      <w:r w:rsidRPr="006F7E3E">
        <w:t xml:space="preserve">values were </w:t>
      </w:r>
      <w:r w:rsidR="001C03B2" w:rsidRPr="006F7E3E">
        <w:t xml:space="preserve">determined </w:t>
      </w:r>
      <w:r w:rsidRPr="006F7E3E">
        <w:t>by differential scanning calorimetry (DSC) using Q200 TA instruments. Polymeric samples were first heated from 25 °C to 200 °C at 10 °C/min. All thermal data were obtained from the first scan.</w:t>
      </w:r>
    </w:p>
    <w:p w14:paraId="0422649E" w14:textId="00E82F3B" w:rsidR="00AF6500" w:rsidRPr="006F7E3E" w:rsidRDefault="00AF6500" w:rsidP="00AF6500">
      <w:pPr>
        <w:pStyle w:val="MDPI22heading2"/>
      </w:pPr>
      <w:r w:rsidRPr="006F7E3E">
        <w:t xml:space="preserve">3.3. </w:t>
      </w:r>
      <w:r w:rsidR="00FB48E0" w:rsidRPr="006F7E3E">
        <w:t xml:space="preserve">Protocol of </w:t>
      </w:r>
      <w:r w:rsidRPr="006F7E3E">
        <w:t>R</w:t>
      </w:r>
      <w:r w:rsidR="00FB48E0" w:rsidRPr="006F7E3E">
        <w:t xml:space="preserve">ac-LA </w:t>
      </w:r>
      <w:r w:rsidRPr="006F7E3E">
        <w:t>Polymerization</w:t>
      </w:r>
    </w:p>
    <w:p w14:paraId="1D246A1E" w14:textId="086ACC0B" w:rsidR="00FB48E0" w:rsidRPr="006F7E3E" w:rsidRDefault="00FB48E0" w:rsidP="00AF6500">
      <w:pPr>
        <w:pStyle w:val="MDPI31text"/>
      </w:pPr>
      <w:r w:rsidRPr="006F7E3E">
        <w:t>In a glove box (H</w:t>
      </w:r>
      <w:r w:rsidRPr="006F7E3E">
        <w:rPr>
          <w:vertAlign w:val="subscript"/>
        </w:rPr>
        <w:t>2</w:t>
      </w:r>
      <w:r w:rsidRPr="006F7E3E">
        <w:t>O &lt; 1</w:t>
      </w:r>
      <w:r w:rsidR="0064400C" w:rsidRPr="006F7E3E">
        <w:t xml:space="preserve"> </w:t>
      </w:r>
      <w:r w:rsidRPr="006F7E3E">
        <w:t>ppm, O</w:t>
      </w:r>
      <w:r w:rsidRPr="006F7E3E">
        <w:rPr>
          <w:vertAlign w:val="subscript"/>
        </w:rPr>
        <w:t>2</w:t>
      </w:r>
      <w:r w:rsidRPr="006F7E3E">
        <w:t xml:space="preserve"> &lt; 0.1 ppm), a first dried vial was charged by </w:t>
      </w:r>
      <w:proofErr w:type="spellStart"/>
      <w:r w:rsidRPr="006F7E3E">
        <w:t>BnOH</w:t>
      </w:r>
      <w:proofErr w:type="spellEnd"/>
      <w:r w:rsidRPr="006F7E3E">
        <w:t xml:space="preserve"> (7.5 mg, 0.069 mmol), TBD (9.6 mg, 0.069 mmol), 1 ml of dried toluene ([</w:t>
      </w:r>
      <w:proofErr w:type="spellStart"/>
      <w:r w:rsidRPr="006F7E3E">
        <w:t>BnOH</w:t>
      </w:r>
      <w:proofErr w:type="spellEnd"/>
      <w:r w:rsidRPr="006F7E3E">
        <w:t>]</w:t>
      </w:r>
      <w:r w:rsidRPr="006F7E3E">
        <w:rPr>
          <w:vertAlign w:val="subscript"/>
        </w:rPr>
        <w:t>0</w:t>
      </w:r>
      <w:r w:rsidRPr="006F7E3E">
        <w:t xml:space="preserve"> = 0.069 M) and a magnetic bar. In a second dried vial, </w:t>
      </w:r>
      <w:r w:rsidRPr="006F7E3E">
        <w:rPr>
          <w:i/>
        </w:rPr>
        <w:t>L</w:t>
      </w:r>
      <w:r w:rsidRPr="006F7E3E">
        <w:t xml:space="preserve">- and </w:t>
      </w:r>
      <w:r w:rsidRPr="006F7E3E">
        <w:rPr>
          <w:i/>
        </w:rPr>
        <w:t>D</w:t>
      </w:r>
      <w:r w:rsidRPr="006F7E3E">
        <w:t>-LA (50 mg each, 34.7 mmol each) were solubilized in 3 m</w:t>
      </w:r>
      <w:r w:rsidR="00E93E70" w:rsidRPr="006F7E3E">
        <w:t>L</w:t>
      </w:r>
      <w:r w:rsidRPr="006F7E3E">
        <w:t xml:space="preserve"> of dried toluene ([</w:t>
      </w:r>
      <w:proofErr w:type="spellStart"/>
      <w:r w:rsidRPr="006F7E3E">
        <w:rPr>
          <w:i/>
        </w:rPr>
        <w:t>rac</w:t>
      </w:r>
      <w:proofErr w:type="spellEnd"/>
      <w:r w:rsidRPr="006F7E3E">
        <w:t>-LA]</w:t>
      </w:r>
      <w:r w:rsidRPr="006F7E3E">
        <w:rPr>
          <w:vertAlign w:val="subscript"/>
        </w:rPr>
        <w:t>0</w:t>
      </w:r>
      <w:r w:rsidRPr="006F7E3E">
        <w:t xml:space="preserve"> = 0.22 M) at r.t., in </w:t>
      </w:r>
      <w:r w:rsidR="00BB1180" w:rsidRPr="006F7E3E">
        <w:t xml:space="preserve">the </w:t>
      </w:r>
      <w:r w:rsidRPr="006F7E3E">
        <w:t xml:space="preserve">presence of a magnetic bar (Figure S1). In a cold room (~ 5 °C), both vials were immersed in a cryogenic bath </w:t>
      </w:r>
      <w:proofErr w:type="spellStart"/>
      <w:r w:rsidRPr="006F7E3E">
        <w:t>thermostatized</w:t>
      </w:r>
      <w:proofErr w:type="spellEnd"/>
      <w:r w:rsidRPr="006F7E3E">
        <w:t xml:space="preserve"> at </w:t>
      </w:r>
      <w:r w:rsidR="00E93E70" w:rsidRPr="006F7E3E">
        <w:t>−</w:t>
      </w:r>
      <w:r w:rsidRPr="006F7E3E">
        <w:t>75 °C. After stir</w:t>
      </w:r>
      <w:r w:rsidR="00BB1180" w:rsidRPr="006F7E3E">
        <w:t>ring</w:t>
      </w:r>
      <w:r w:rsidR="0064400C" w:rsidRPr="006F7E3E">
        <w:t xml:space="preserve"> for 10 min</w:t>
      </w:r>
      <w:r w:rsidRPr="006F7E3E">
        <w:t>, 100 mL of the alcohol solution (6.9 × 10</w:t>
      </w:r>
      <w:r w:rsidR="003F6CE1" w:rsidRPr="006F7E3E">
        <w:rPr>
          <w:vertAlign w:val="superscript"/>
        </w:rPr>
        <w:t>−6</w:t>
      </w:r>
      <w:r w:rsidRPr="006F7E3E">
        <w:t xml:space="preserve"> mol) was quickly injected into the insoluble monomer medium (Figure S2, [</w:t>
      </w:r>
      <w:proofErr w:type="spellStart"/>
      <w:r w:rsidRPr="006F7E3E">
        <w:rPr>
          <w:i/>
        </w:rPr>
        <w:t>rac</w:t>
      </w:r>
      <w:proofErr w:type="spellEnd"/>
      <w:r w:rsidRPr="006F7E3E">
        <w:t>-LA]</w:t>
      </w:r>
      <w:r w:rsidRPr="006F7E3E">
        <w:rPr>
          <w:vertAlign w:val="subscript"/>
        </w:rPr>
        <w:t>0</w:t>
      </w:r>
      <w:r w:rsidRPr="006F7E3E">
        <w:t>/[</w:t>
      </w:r>
      <w:proofErr w:type="spellStart"/>
      <w:r w:rsidRPr="006F7E3E">
        <w:t>BnOH</w:t>
      </w:r>
      <w:proofErr w:type="spellEnd"/>
      <w:r w:rsidRPr="006F7E3E">
        <w:t>]</w:t>
      </w:r>
      <w:r w:rsidRPr="006F7E3E">
        <w:rPr>
          <w:vertAlign w:val="subscript"/>
        </w:rPr>
        <w:t>0</w:t>
      </w:r>
      <w:r w:rsidRPr="006F7E3E">
        <w:t>/[TBD]</w:t>
      </w:r>
      <w:r w:rsidRPr="006F7E3E">
        <w:rPr>
          <w:vertAlign w:val="subscript"/>
        </w:rPr>
        <w:t>0</w:t>
      </w:r>
      <w:r w:rsidRPr="006F7E3E">
        <w:t xml:space="preserve"> = 100/1/1). Over time, the initially insoluble medium becomes more and more soluble at </w:t>
      </w:r>
      <w:r w:rsidR="00E93E70" w:rsidRPr="006F7E3E">
        <w:t>−</w:t>
      </w:r>
      <w:r w:rsidRPr="006F7E3E">
        <w:t xml:space="preserve">75 °C, attesting </w:t>
      </w:r>
      <w:r w:rsidR="00097EFC" w:rsidRPr="006F7E3E">
        <w:t xml:space="preserve">to </w:t>
      </w:r>
      <w:r w:rsidRPr="006F7E3E">
        <w:t xml:space="preserve">the good formation of the polymer (Figure S3). After an appropriate reaction time, the medium is quenched by </w:t>
      </w:r>
      <w:r w:rsidR="00097EFC" w:rsidRPr="006F7E3E">
        <w:t xml:space="preserve">an </w:t>
      </w:r>
      <w:r w:rsidRPr="006F7E3E">
        <w:t>addition of cold heptane</w:t>
      </w:r>
      <w:r w:rsidR="00097EFC" w:rsidRPr="006F7E3E">
        <w:t>,</w:t>
      </w:r>
      <w:r w:rsidRPr="006F7E3E">
        <w:t xml:space="preserve"> allowing both monomer and polymer to precipitate. </w:t>
      </w:r>
      <w:r w:rsidR="00BB1180" w:rsidRPr="006F7E3E">
        <w:t>The c</w:t>
      </w:r>
      <w:r w:rsidRPr="006F7E3E">
        <w:t>onversion is then determined by SEC analysis on the crude medium while</w:t>
      </w:r>
      <w:r w:rsidR="00097EFC" w:rsidRPr="006F7E3E">
        <w:t xml:space="preserve"> the</w:t>
      </w:r>
      <w:r w:rsidRPr="006F7E3E">
        <w:t xml:space="preserve"> </w:t>
      </w:r>
      <w:r w:rsidRPr="006F7E3E">
        <w:rPr>
          <w:i/>
        </w:rPr>
        <w:t>P</w:t>
      </w:r>
      <w:r w:rsidRPr="006F7E3E">
        <w:rPr>
          <w:i/>
          <w:vertAlign w:val="subscript"/>
        </w:rPr>
        <w:t>m</w:t>
      </w:r>
      <w:r w:rsidRPr="006F7E3E">
        <w:t xml:space="preserve">, </w:t>
      </w:r>
      <w:proofErr w:type="spellStart"/>
      <w:r w:rsidRPr="006F7E3E">
        <w:rPr>
          <w:i/>
        </w:rPr>
        <w:t>T</w:t>
      </w:r>
      <w:r w:rsidRPr="006F7E3E">
        <w:rPr>
          <w:i/>
          <w:vertAlign w:val="subscript"/>
        </w:rPr>
        <w:t>g</w:t>
      </w:r>
      <w:proofErr w:type="spellEnd"/>
      <w:r w:rsidRPr="006F7E3E">
        <w:t xml:space="preserve"> and </w:t>
      </w:r>
      <w:r w:rsidRPr="006F7E3E">
        <w:rPr>
          <w:i/>
        </w:rPr>
        <w:t>T</w:t>
      </w:r>
      <w:r w:rsidRPr="006F7E3E">
        <w:rPr>
          <w:i/>
          <w:vertAlign w:val="subscript"/>
        </w:rPr>
        <w:t>m</w:t>
      </w:r>
      <w:r w:rsidRPr="006F7E3E">
        <w:t xml:space="preserve"> values are obtained after precipitation of the crude medium in cold methanol.</w:t>
      </w:r>
    </w:p>
    <w:p w14:paraId="5754DBD0" w14:textId="3373B496" w:rsidR="00AF6500" w:rsidRPr="006F7E3E" w:rsidRDefault="00AF6500" w:rsidP="00AF6500">
      <w:pPr>
        <w:pStyle w:val="MDPI22heading2"/>
      </w:pPr>
      <w:r w:rsidRPr="006F7E3E">
        <w:t xml:space="preserve">3.4. </w:t>
      </w:r>
      <w:r w:rsidR="00FB48E0" w:rsidRPr="006F7E3E">
        <w:t xml:space="preserve">Theoretical </w:t>
      </w:r>
      <w:r w:rsidRPr="006F7E3E">
        <w:t>Investigations</w:t>
      </w:r>
      <w:r w:rsidR="00FB48E0" w:rsidRPr="006F7E3E">
        <w:t xml:space="preserve"> </w:t>
      </w:r>
    </w:p>
    <w:p w14:paraId="1907B666" w14:textId="5CAC4160" w:rsidR="00FB48E0" w:rsidRPr="006F7E3E" w:rsidRDefault="003519C1" w:rsidP="00AF6500">
      <w:pPr>
        <w:pStyle w:val="MDPI31text"/>
      </w:pPr>
      <w:r w:rsidRPr="006F7E3E">
        <w:lastRenderedPageBreak/>
        <w:t>All the geometries of the reactants, transition states and products have been optimized at the Density Functional Theory (DFT) level (ωB97XD functional and a 6-31G** basis set) using Gaussian16 (Revision A03)</w:t>
      </w:r>
      <w:r w:rsidR="00FE0411" w:rsidRPr="006F7E3E">
        <w:t xml:space="preserve"> </w:t>
      </w:r>
      <w:commentRangeStart w:id="15"/>
      <w:r w:rsidR="008B600E" w:rsidRPr="006F7E3E">
        <w:t>(</w:t>
      </w:r>
      <w:r w:rsidR="00E93E70" w:rsidRPr="006F7E3E">
        <w:t>https://gaussian.com/citation</w:t>
      </w:r>
      <w:commentRangeEnd w:id="15"/>
      <w:r w:rsidR="008B600E" w:rsidRPr="006F7E3E">
        <w:rPr>
          <w:rStyle w:val="Marquedecommentaire"/>
          <w:rFonts w:ascii="Times New Roman" w:hAnsi="Times New Roman"/>
          <w:snapToGrid/>
          <w:lang w:bidi="ar-SA"/>
        </w:rPr>
        <w:commentReference w:id="15"/>
      </w:r>
      <w:r w:rsidR="008B600E" w:rsidRPr="006F7E3E">
        <w:t xml:space="preserve">/). </w:t>
      </w:r>
      <w:r w:rsidRPr="006F7E3E">
        <w:t>Frequency calculations were performed on each optimized structure to confirm that (</w:t>
      </w:r>
      <w:proofErr w:type="spellStart"/>
      <w:r w:rsidRPr="006F7E3E">
        <w:t>i</w:t>
      </w:r>
      <w:proofErr w:type="spellEnd"/>
      <w:r w:rsidRPr="006F7E3E">
        <w:t xml:space="preserve">) reactants and products correspond to minima on the potential energy surface and (ii) transitions states only have one imaginary frequency. From the transition states, we performed intrinsic reaction coordinates (IRC) </w:t>
      </w:r>
      <w:r w:rsidR="004A5B13" w:rsidRPr="006F7E3E">
        <w:t xml:space="preserve">calculations </w:t>
      </w:r>
      <w:r w:rsidRPr="006F7E3E">
        <w:t>to confirm the expected connection to the reactants and products on the potential energy surface</w:t>
      </w:r>
      <w:r w:rsidR="00097EFC" w:rsidRPr="006F7E3E">
        <w:t>,</w:t>
      </w:r>
      <w:r w:rsidRPr="006F7E3E">
        <w:t xml:space="preserve"> and </w:t>
      </w:r>
      <w:r w:rsidR="004A5B13" w:rsidRPr="006F7E3E">
        <w:t>the geometry of those transitions states was</w:t>
      </w:r>
      <w:r w:rsidRPr="006F7E3E">
        <w:t xml:space="preserve"> then optimized.</w:t>
      </w:r>
    </w:p>
    <w:p w14:paraId="57ED350E" w14:textId="761D4441" w:rsidR="00807E37" w:rsidRPr="006F7E3E" w:rsidRDefault="00E93E70" w:rsidP="00E93E70">
      <w:pPr>
        <w:pStyle w:val="MDPI21heading1"/>
      </w:pPr>
      <w:r w:rsidRPr="006F7E3E">
        <w:t xml:space="preserve">4. </w:t>
      </w:r>
      <w:r w:rsidR="00807E37" w:rsidRPr="006F7E3E">
        <w:t>Conclusions</w:t>
      </w:r>
    </w:p>
    <w:p w14:paraId="4219374C" w14:textId="61553C9F" w:rsidR="00807E37" w:rsidRPr="006F7E3E" w:rsidRDefault="001F7F9C" w:rsidP="00E93E70">
      <w:pPr>
        <w:pStyle w:val="MDPI31text"/>
      </w:pPr>
      <w:r w:rsidRPr="006F7E3E">
        <w:t xml:space="preserve">In summary, </w:t>
      </w:r>
      <w:bookmarkStart w:id="16" w:name="_Hlk22493198"/>
      <w:r w:rsidRPr="006F7E3E">
        <w:t xml:space="preserve">we show that an achiral catalyst as simple and readily available as TBD can efficiently induce the stereoselective ring-opening polymerization of </w:t>
      </w:r>
      <w:proofErr w:type="spellStart"/>
      <w:r w:rsidRPr="006F7E3E">
        <w:rPr>
          <w:i/>
          <w:iCs/>
        </w:rPr>
        <w:t>rac</w:t>
      </w:r>
      <w:proofErr w:type="spellEnd"/>
      <w:r w:rsidRPr="006F7E3E">
        <w:t xml:space="preserve">- and </w:t>
      </w:r>
      <w:r w:rsidRPr="006F7E3E">
        <w:rPr>
          <w:i/>
          <w:iCs/>
        </w:rPr>
        <w:t>meso</w:t>
      </w:r>
      <w:r w:rsidRPr="006F7E3E">
        <w:t xml:space="preserve">-lactides, achieving a highly iso- and heterotactic polylactide, respectively. The explanation for such performance, as proposed from combined experimental and computational results, lies in </w:t>
      </w:r>
      <w:r w:rsidR="003519C1" w:rsidRPr="006F7E3E">
        <w:t>significantly different activation energies originating from</w:t>
      </w:r>
      <w:r w:rsidRPr="006F7E3E">
        <w:t xml:space="preserve"> </w:t>
      </w:r>
      <w:r w:rsidR="00122161" w:rsidRPr="006F7E3E">
        <w:t xml:space="preserve">subtle </w:t>
      </w:r>
      <w:r w:rsidRPr="006F7E3E">
        <w:t xml:space="preserve">differences in intermolecular interactions within the </w:t>
      </w:r>
      <w:r w:rsidR="004A5B13" w:rsidRPr="006F7E3E">
        <w:t xml:space="preserve">complex formed by the </w:t>
      </w:r>
      <w:r w:rsidR="003519C1" w:rsidRPr="006F7E3E">
        <w:t>reactants</w:t>
      </w:r>
      <w:bookmarkEnd w:id="16"/>
      <w:r w:rsidR="00807E37" w:rsidRPr="006F7E3E">
        <w:t>.</w:t>
      </w:r>
    </w:p>
    <w:p w14:paraId="2042C1FA" w14:textId="0645880D" w:rsidR="00FE12A9" w:rsidRPr="006F7E3E" w:rsidRDefault="00900A4E" w:rsidP="003F6CE1">
      <w:pPr>
        <w:pStyle w:val="MDPI61Supplementary"/>
        <w:adjustRightInd w:val="0"/>
        <w:snapToGrid w:val="0"/>
      </w:pPr>
      <w:r w:rsidRPr="006F7E3E">
        <w:rPr>
          <w:b/>
        </w:rPr>
        <w:t>Supplementary Materials:</w:t>
      </w:r>
      <w:r w:rsidRPr="006F7E3E">
        <w:t xml:space="preserve"> The following are available online at </w:t>
      </w:r>
      <w:r w:rsidR="00C804C9" w:rsidRPr="006F7E3E">
        <w:t>www.mdpi.com/xxx/s1</w:t>
      </w:r>
      <w:r w:rsidRPr="006F7E3E">
        <w:t xml:space="preserve">, Figure S1: </w:t>
      </w:r>
      <w:r w:rsidR="00FB48E0" w:rsidRPr="006F7E3E">
        <w:t xml:space="preserve">Mixture of </w:t>
      </w:r>
      <w:r w:rsidR="00FB48E0" w:rsidRPr="006F7E3E">
        <w:rPr>
          <w:i/>
        </w:rPr>
        <w:t>L</w:t>
      </w:r>
      <w:r w:rsidR="00FB48E0" w:rsidRPr="006F7E3E">
        <w:t xml:space="preserve">- and </w:t>
      </w:r>
      <w:r w:rsidR="00FB48E0" w:rsidRPr="006F7E3E">
        <w:rPr>
          <w:i/>
        </w:rPr>
        <w:t>D</w:t>
      </w:r>
      <w:r w:rsidR="00FB48E0" w:rsidRPr="006F7E3E">
        <w:t>-LA (1/1 molar ratio) at 23 °C ([</w:t>
      </w:r>
      <w:proofErr w:type="spellStart"/>
      <w:r w:rsidR="00FB48E0" w:rsidRPr="006F7E3E">
        <w:rPr>
          <w:i/>
        </w:rPr>
        <w:t>rac</w:t>
      </w:r>
      <w:proofErr w:type="spellEnd"/>
      <w:r w:rsidR="00FB48E0" w:rsidRPr="006F7E3E">
        <w:t>-LA]</w:t>
      </w:r>
      <w:r w:rsidR="00FB48E0" w:rsidRPr="006F7E3E">
        <w:rPr>
          <w:vertAlign w:val="subscript"/>
        </w:rPr>
        <w:t>0</w:t>
      </w:r>
      <w:r w:rsidR="00FB48E0" w:rsidRPr="006F7E3E">
        <w:t xml:space="preserve"> = 0.22 M)</w:t>
      </w:r>
      <w:r w:rsidRPr="006F7E3E">
        <w:t xml:space="preserve">, </w:t>
      </w:r>
      <w:r w:rsidR="00FB48E0" w:rsidRPr="006F7E3E">
        <w:t xml:space="preserve">Figure S2: Mixture of </w:t>
      </w:r>
      <w:r w:rsidR="00FB48E0" w:rsidRPr="006F7E3E">
        <w:rPr>
          <w:i/>
        </w:rPr>
        <w:t>L</w:t>
      </w:r>
      <w:r w:rsidR="00FB48E0" w:rsidRPr="006F7E3E">
        <w:t xml:space="preserve">- and </w:t>
      </w:r>
      <w:r w:rsidR="00FB48E0" w:rsidRPr="006F7E3E">
        <w:rPr>
          <w:i/>
        </w:rPr>
        <w:t>D</w:t>
      </w:r>
      <w:r w:rsidR="00FB48E0" w:rsidRPr="006F7E3E">
        <w:t>-LA (1</w:t>
      </w:r>
      <w:r w:rsidR="0064400C" w:rsidRPr="006F7E3E">
        <w:t>/1 molar ratio) after 10 min</w:t>
      </w:r>
      <w:r w:rsidR="00FB48E0" w:rsidRPr="006F7E3E">
        <w:t xml:space="preserve"> at </w:t>
      </w:r>
      <w:r w:rsidR="0064400C" w:rsidRPr="006F7E3E">
        <w:t>−</w:t>
      </w:r>
      <w:r w:rsidR="00FB48E0" w:rsidRPr="006F7E3E">
        <w:t>75 °C ([</w:t>
      </w:r>
      <w:proofErr w:type="spellStart"/>
      <w:r w:rsidR="00FB48E0" w:rsidRPr="006F7E3E">
        <w:rPr>
          <w:i/>
        </w:rPr>
        <w:t>rac</w:t>
      </w:r>
      <w:proofErr w:type="spellEnd"/>
      <w:r w:rsidR="00FB48E0" w:rsidRPr="006F7E3E">
        <w:t>-LA]</w:t>
      </w:r>
      <w:r w:rsidR="00FB48E0" w:rsidRPr="006F7E3E">
        <w:rPr>
          <w:vertAlign w:val="subscript"/>
        </w:rPr>
        <w:t>0</w:t>
      </w:r>
      <w:r w:rsidR="00FB48E0" w:rsidRPr="006F7E3E">
        <w:t xml:space="preserve"> = 0.22 M), Figure S3: </w:t>
      </w:r>
      <w:r w:rsidR="008C118C" w:rsidRPr="006F7E3E">
        <w:t xml:space="preserve">Mixture of </w:t>
      </w:r>
      <w:r w:rsidR="008C118C" w:rsidRPr="006F7E3E">
        <w:rPr>
          <w:i/>
        </w:rPr>
        <w:t>L</w:t>
      </w:r>
      <w:r w:rsidR="008C118C" w:rsidRPr="006F7E3E">
        <w:t xml:space="preserve">- and </w:t>
      </w:r>
      <w:r w:rsidR="008C118C" w:rsidRPr="006F7E3E">
        <w:rPr>
          <w:i/>
        </w:rPr>
        <w:t>D</w:t>
      </w:r>
      <w:r w:rsidR="008C118C" w:rsidRPr="006F7E3E">
        <w:t>-LA (1/1 molar ra</w:t>
      </w:r>
      <w:r w:rsidR="0064400C" w:rsidRPr="006F7E3E">
        <w:t>tio) after 20 (A) and 30 min</w:t>
      </w:r>
      <w:r w:rsidR="008C118C" w:rsidRPr="006F7E3E">
        <w:t xml:space="preserve"> (B) of polymerization at </w:t>
      </w:r>
      <w:r w:rsidR="0064400C" w:rsidRPr="006F7E3E">
        <w:t>–</w:t>
      </w:r>
      <w:r w:rsidR="008C118C" w:rsidRPr="006F7E3E">
        <w:t xml:space="preserve">75 °C (Table 1, </w:t>
      </w:r>
      <w:r w:rsidR="0064400C" w:rsidRPr="006F7E3E">
        <w:t xml:space="preserve">Entries </w:t>
      </w:r>
      <w:r w:rsidR="008C118C" w:rsidRPr="006F7E3E">
        <w:t xml:space="preserve">2 </w:t>
      </w:r>
      <w:r w:rsidR="00CB0035" w:rsidRPr="006F7E3E">
        <w:t>and</w:t>
      </w:r>
      <w:r w:rsidR="008C118C" w:rsidRPr="006F7E3E">
        <w:t xml:space="preserve"> 3)</w:t>
      </w:r>
      <w:r w:rsidR="00993BAB" w:rsidRPr="006F7E3E">
        <w:t>, Figure S4: Differential Scanning Calorimetry Thermogram of poly(</w:t>
      </w:r>
      <w:proofErr w:type="spellStart"/>
      <w:r w:rsidR="00993BAB" w:rsidRPr="006F7E3E">
        <w:rPr>
          <w:i/>
          <w:iCs/>
        </w:rPr>
        <w:t>rac</w:t>
      </w:r>
      <w:proofErr w:type="spellEnd"/>
      <w:r w:rsidR="00993BAB" w:rsidRPr="006F7E3E">
        <w:t xml:space="preserve">-LA) obtained by </w:t>
      </w:r>
      <w:proofErr w:type="spellStart"/>
      <w:r w:rsidR="00993BAB" w:rsidRPr="006F7E3E">
        <w:rPr>
          <w:i/>
          <w:iCs/>
        </w:rPr>
        <w:t>rac</w:t>
      </w:r>
      <w:proofErr w:type="spellEnd"/>
      <w:r w:rsidR="00993BAB" w:rsidRPr="006F7E3E">
        <w:t xml:space="preserve">-LA ROP in toluene at </w:t>
      </w:r>
      <w:r w:rsidR="00A4369C" w:rsidRPr="006F7E3E">
        <w:t>–</w:t>
      </w:r>
      <w:r w:rsidR="00993BAB" w:rsidRPr="006F7E3E">
        <w:t xml:space="preserve">75 °C, initiated by </w:t>
      </w:r>
      <w:proofErr w:type="spellStart"/>
      <w:r w:rsidR="00993BAB" w:rsidRPr="006F7E3E">
        <w:t>BnOH</w:t>
      </w:r>
      <w:proofErr w:type="spellEnd"/>
      <w:r w:rsidR="00993BAB" w:rsidRPr="006F7E3E">
        <w:t xml:space="preserve"> and catalyzed by TBD ([LA]</w:t>
      </w:r>
      <w:r w:rsidR="00993BAB" w:rsidRPr="006F7E3E">
        <w:rPr>
          <w:vertAlign w:val="subscript"/>
        </w:rPr>
        <w:t>0</w:t>
      </w:r>
      <w:r w:rsidR="00993BAB" w:rsidRPr="006F7E3E">
        <w:t>/[</w:t>
      </w:r>
      <w:proofErr w:type="spellStart"/>
      <w:r w:rsidR="00993BAB" w:rsidRPr="006F7E3E">
        <w:t>BnOH</w:t>
      </w:r>
      <w:proofErr w:type="spellEnd"/>
      <w:r w:rsidR="00993BAB" w:rsidRPr="006F7E3E">
        <w:t>]</w:t>
      </w:r>
      <w:r w:rsidR="00993BAB" w:rsidRPr="006F7E3E">
        <w:rPr>
          <w:vertAlign w:val="subscript"/>
        </w:rPr>
        <w:t>0</w:t>
      </w:r>
      <w:r w:rsidR="00993BAB" w:rsidRPr="006F7E3E">
        <w:t>/[TBD]</w:t>
      </w:r>
      <w:r w:rsidR="00993BAB" w:rsidRPr="006F7E3E">
        <w:rPr>
          <w:vertAlign w:val="subscript"/>
        </w:rPr>
        <w:t>0</w:t>
      </w:r>
      <w:r w:rsidR="00993BAB" w:rsidRPr="006F7E3E">
        <w:t xml:space="preserve"> = 100/1/0.1; [</w:t>
      </w:r>
      <w:proofErr w:type="spellStart"/>
      <w:r w:rsidR="00993BAB" w:rsidRPr="006F7E3E">
        <w:rPr>
          <w:i/>
          <w:iCs/>
        </w:rPr>
        <w:t>rac</w:t>
      </w:r>
      <w:proofErr w:type="spellEnd"/>
      <w:r w:rsidR="00993BAB" w:rsidRPr="006F7E3E">
        <w:t>-LA]</w:t>
      </w:r>
      <w:r w:rsidR="00993BAB" w:rsidRPr="006F7E3E">
        <w:rPr>
          <w:vertAlign w:val="subscript"/>
        </w:rPr>
        <w:t>0</w:t>
      </w:r>
      <w:r w:rsidR="00993BAB" w:rsidRPr="006F7E3E">
        <w:t xml:space="preserve"> = 0.08 M) – Entry 1, Table 1, Figure S5: Differential Scanning Calorimetry Thermogram of poly(</w:t>
      </w:r>
      <w:proofErr w:type="spellStart"/>
      <w:r w:rsidR="00993BAB" w:rsidRPr="006F7E3E">
        <w:rPr>
          <w:i/>
          <w:iCs/>
        </w:rPr>
        <w:t>rac</w:t>
      </w:r>
      <w:proofErr w:type="spellEnd"/>
      <w:r w:rsidR="00993BAB" w:rsidRPr="006F7E3E">
        <w:t xml:space="preserve">-LA) obtained by </w:t>
      </w:r>
      <w:proofErr w:type="spellStart"/>
      <w:r w:rsidR="00993BAB" w:rsidRPr="006F7E3E">
        <w:rPr>
          <w:i/>
          <w:iCs/>
        </w:rPr>
        <w:t>rac</w:t>
      </w:r>
      <w:proofErr w:type="spellEnd"/>
      <w:r w:rsidR="00993BAB" w:rsidRPr="006F7E3E">
        <w:t xml:space="preserve">-LA ROP in toluene at </w:t>
      </w:r>
      <w:r w:rsidR="00CB0035" w:rsidRPr="006F7E3E">
        <w:t>−</w:t>
      </w:r>
      <w:r w:rsidR="00993BAB" w:rsidRPr="006F7E3E">
        <w:t xml:space="preserve">75 °C, initiated by </w:t>
      </w:r>
      <w:proofErr w:type="spellStart"/>
      <w:r w:rsidR="00993BAB" w:rsidRPr="006F7E3E">
        <w:t>BnOH</w:t>
      </w:r>
      <w:proofErr w:type="spellEnd"/>
      <w:r w:rsidR="00993BAB" w:rsidRPr="006F7E3E">
        <w:t xml:space="preserve"> and catalyzed by TBD ([LA]</w:t>
      </w:r>
      <w:r w:rsidR="00993BAB" w:rsidRPr="006F7E3E">
        <w:rPr>
          <w:vertAlign w:val="subscript"/>
        </w:rPr>
        <w:t>0</w:t>
      </w:r>
      <w:r w:rsidR="00993BAB" w:rsidRPr="006F7E3E">
        <w:t>/[</w:t>
      </w:r>
      <w:proofErr w:type="spellStart"/>
      <w:r w:rsidR="00993BAB" w:rsidRPr="006F7E3E">
        <w:t>BnOH</w:t>
      </w:r>
      <w:proofErr w:type="spellEnd"/>
      <w:r w:rsidR="00993BAB" w:rsidRPr="006F7E3E">
        <w:t>]</w:t>
      </w:r>
      <w:r w:rsidR="00993BAB" w:rsidRPr="006F7E3E">
        <w:rPr>
          <w:vertAlign w:val="subscript"/>
        </w:rPr>
        <w:t>0</w:t>
      </w:r>
      <w:r w:rsidR="00993BAB" w:rsidRPr="006F7E3E">
        <w:t>/[TBD]</w:t>
      </w:r>
      <w:r w:rsidR="00993BAB" w:rsidRPr="006F7E3E">
        <w:rPr>
          <w:vertAlign w:val="subscript"/>
        </w:rPr>
        <w:t>0</w:t>
      </w:r>
      <w:r w:rsidR="00993BAB" w:rsidRPr="006F7E3E">
        <w:t xml:space="preserve"> = 100/1/0.1; [</w:t>
      </w:r>
      <w:proofErr w:type="spellStart"/>
      <w:r w:rsidR="00993BAB" w:rsidRPr="006F7E3E">
        <w:rPr>
          <w:i/>
          <w:iCs/>
        </w:rPr>
        <w:t>rac</w:t>
      </w:r>
      <w:proofErr w:type="spellEnd"/>
      <w:r w:rsidR="00993BAB" w:rsidRPr="006F7E3E">
        <w:t>-LA]</w:t>
      </w:r>
      <w:r w:rsidR="00993BAB" w:rsidRPr="006F7E3E">
        <w:rPr>
          <w:vertAlign w:val="subscript"/>
        </w:rPr>
        <w:t>0</w:t>
      </w:r>
      <w:r w:rsidR="00993BAB" w:rsidRPr="006F7E3E">
        <w:t xml:space="preserve"> = 0.08 M) – Entry 2, Table 1, Figure S6: Differential Scanning Calorimetry Thermogram of poly(</w:t>
      </w:r>
      <w:proofErr w:type="spellStart"/>
      <w:r w:rsidR="00993BAB" w:rsidRPr="006F7E3E">
        <w:rPr>
          <w:i/>
          <w:iCs/>
        </w:rPr>
        <w:t>rac</w:t>
      </w:r>
      <w:proofErr w:type="spellEnd"/>
      <w:r w:rsidR="00993BAB" w:rsidRPr="006F7E3E">
        <w:t xml:space="preserve">-LA) obtained by </w:t>
      </w:r>
      <w:proofErr w:type="spellStart"/>
      <w:r w:rsidR="00993BAB" w:rsidRPr="006F7E3E">
        <w:rPr>
          <w:i/>
          <w:iCs/>
        </w:rPr>
        <w:t>rac</w:t>
      </w:r>
      <w:proofErr w:type="spellEnd"/>
      <w:r w:rsidR="00993BAB" w:rsidRPr="006F7E3E">
        <w:t xml:space="preserve">-LA ROP in toluene at </w:t>
      </w:r>
      <w:r w:rsidR="00CB0035" w:rsidRPr="006F7E3E">
        <w:t>−</w:t>
      </w:r>
      <w:r w:rsidR="00993BAB" w:rsidRPr="006F7E3E">
        <w:t xml:space="preserve">75 °C, initiated by </w:t>
      </w:r>
      <w:proofErr w:type="spellStart"/>
      <w:r w:rsidR="00993BAB" w:rsidRPr="006F7E3E">
        <w:t>BnOH</w:t>
      </w:r>
      <w:proofErr w:type="spellEnd"/>
      <w:r w:rsidR="00993BAB" w:rsidRPr="006F7E3E">
        <w:t xml:space="preserve"> and catalyzed by TBD ([LA]</w:t>
      </w:r>
      <w:r w:rsidR="00993BAB" w:rsidRPr="006F7E3E">
        <w:rPr>
          <w:vertAlign w:val="subscript"/>
        </w:rPr>
        <w:t>0</w:t>
      </w:r>
      <w:r w:rsidR="00993BAB" w:rsidRPr="006F7E3E">
        <w:t>/[</w:t>
      </w:r>
      <w:proofErr w:type="spellStart"/>
      <w:r w:rsidR="00993BAB" w:rsidRPr="006F7E3E">
        <w:t>BnOH</w:t>
      </w:r>
      <w:proofErr w:type="spellEnd"/>
      <w:r w:rsidR="00993BAB" w:rsidRPr="006F7E3E">
        <w:t>]</w:t>
      </w:r>
      <w:r w:rsidR="00993BAB" w:rsidRPr="006F7E3E">
        <w:rPr>
          <w:vertAlign w:val="subscript"/>
        </w:rPr>
        <w:t>0</w:t>
      </w:r>
      <w:r w:rsidR="00993BAB" w:rsidRPr="006F7E3E">
        <w:t>/[TBD]</w:t>
      </w:r>
      <w:r w:rsidR="00993BAB" w:rsidRPr="006F7E3E">
        <w:rPr>
          <w:vertAlign w:val="subscript"/>
        </w:rPr>
        <w:t>0</w:t>
      </w:r>
      <w:r w:rsidR="00993BAB" w:rsidRPr="006F7E3E">
        <w:t xml:space="preserve"> = 100/1/1; [</w:t>
      </w:r>
      <w:proofErr w:type="spellStart"/>
      <w:r w:rsidR="00993BAB" w:rsidRPr="006F7E3E">
        <w:rPr>
          <w:i/>
          <w:iCs/>
        </w:rPr>
        <w:t>rac</w:t>
      </w:r>
      <w:proofErr w:type="spellEnd"/>
      <w:r w:rsidR="00993BAB" w:rsidRPr="006F7E3E">
        <w:t>-LA]</w:t>
      </w:r>
      <w:r w:rsidR="00993BAB" w:rsidRPr="006F7E3E">
        <w:rPr>
          <w:vertAlign w:val="subscript"/>
        </w:rPr>
        <w:t>0</w:t>
      </w:r>
      <w:r w:rsidR="00993BAB" w:rsidRPr="006F7E3E">
        <w:t xml:space="preserve"> = 0.22 M) – Entry 3, Table 1, Figure S7: Differential Scanning Calorimetry Thermogram of poly(</w:t>
      </w:r>
      <w:proofErr w:type="spellStart"/>
      <w:r w:rsidR="00993BAB" w:rsidRPr="006F7E3E">
        <w:rPr>
          <w:i/>
          <w:iCs/>
        </w:rPr>
        <w:t>rac</w:t>
      </w:r>
      <w:proofErr w:type="spellEnd"/>
      <w:r w:rsidR="00993BAB" w:rsidRPr="006F7E3E">
        <w:t xml:space="preserve">-LA) obtained by </w:t>
      </w:r>
      <w:proofErr w:type="spellStart"/>
      <w:r w:rsidR="00993BAB" w:rsidRPr="006F7E3E">
        <w:rPr>
          <w:i/>
          <w:iCs/>
        </w:rPr>
        <w:t>rac</w:t>
      </w:r>
      <w:proofErr w:type="spellEnd"/>
      <w:r w:rsidR="00993BAB" w:rsidRPr="006F7E3E">
        <w:t xml:space="preserve">-LA ROP in toluene at </w:t>
      </w:r>
      <w:r w:rsidR="00CB0035" w:rsidRPr="006F7E3E">
        <w:t>−</w:t>
      </w:r>
      <w:r w:rsidR="00993BAB" w:rsidRPr="006F7E3E">
        <w:t xml:space="preserve">75 °C, initiated by </w:t>
      </w:r>
      <w:proofErr w:type="spellStart"/>
      <w:r w:rsidR="00993BAB" w:rsidRPr="006F7E3E">
        <w:t>BnOH</w:t>
      </w:r>
      <w:proofErr w:type="spellEnd"/>
      <w:r w:rsidR="00993BAB" w:rsidRPr="006F7E3E">
        <w:t xml:space="preserve"> and catalyzed by TBD ([LA]</w:t>
      </w:r>
      <w:r w:rsidR="00993BAB" w:rsidRPr="006F7E3E">
        <w:rPr>
          <w:vertAlign w:val="subscript"/>
        </w:rPr>
        <w:t>0</w:t>
      </w:r>
      <w:r w:rsidR="00993BAB" w:rsidRPr="006F7E3E">
        <w:t>/[</w:t>
      </w:r>
      <w:proofErr w:type="spellStart"/>
      <w:r w:rsidR="00993BAB" w:rsidRPr="006F7E3E">
        <w:t>BnOH</w:t>
      </w:r>
      <w:proofErr w:type="spellEnd"/>
      <w:r w:rsidR="00993BAB" w:rsidRPr="006F7E3E">
        <w:t>]</w:t>
      </w:r>
      <w:r w:rsidR="00993BAB" w:rsidRPr="006F7E3E">
        <w:rPr>
          <w:vertAlign w:val="subscript"/>
        </w:rPr>
        <w:t>0</w:t>
      </w:r>
      <w:r w:rsidR="00993BAB" w:rsidRPr="006F7E3E">
        <w:t>/[TBD]</w:t>
      </w:r>
      <w:r w:rsidR="00993BAB" w:rsidRPr="006F7E3E">
        <w:rPr>
          <w:vertAlign w:val="subscript"/>
        </w:rPr>
        <w:t>0</w:t>
      </w:r>
      <w:r w:rsidR="00993BAB" w:rsidRPr="006F7E3E">
        <w:t xml:space="preserve"> = 100/1/1; [</w:t>
      </w:r>
      <w:proofErr w:type="spellStart"/>
      <w:r w:rsidR="00993BAB" w:rsidRPr="006F7E3E">
        <w:rPr>
          <w:i/>
          <w:iCs/>
        </w:rPr>
        <w:t>rac</w:t>
      </w:r>
      <w:proofErr w:type="spellEnd"/>
      <w:r w:rsidR="00993BAB" w:rsidRPr="006F7E3E">
        <w:t>-LA]</w:t>
      </w:r>
      <w:r w:rsidR="00993BAB" w:rsidRPr="006F7E3E">
        <w:rPr>
          <w:vertAlign w:val="subscript"/>
        </w:rPr>
        <w:t>0</w:t>
      </w:r>
      <w:r w:rsidR="00993BAB" w:rsidRPr="006F7E3E">
        <w:t xml:space="preserve"> = 0.22 M) – Entry 4, Table 1, </w:t>
      </w:r>
      <w:r w:rsidR="00FE12A9" w:rsidRPr="006F7E3E">
        <w:rPr>
          <w:bCs/>
        </w:rPr>
        <w:t>Figure S8. DFT-optimized (</w:t>
      </w:r>
      <w:r w:rsidR="003F6CE1" w:rsidRPr="006F7E3E">
        <w:rPr>
          <w:bCs/>
        </w:rPr>
        <w:t>ω</w:t>
      </w:r>
      <w:r w:rsidR="00FE12A9" w:rsidRPr="006F7E3E">
        <w:rPr>
          <w:bCs/>
        </w:rPr>
        <w:t>B97XD/6-31G**) reactants from IRC calculations of complex I (left) and complex II (right). The distances between the alcohol oxygen and the carbon of the carbonyl are highlighted in green and is much shorter in complex I (2.62 Å</w:t>
      </w:r>
      <w:r w:rsidR="003F6CE1" w:rsidRPr="006F7E3E">
        <w:rPr>
          <w:bCs/>
        </w:rPr>
        <w:t xml:space="preserve"> vs. </w:t>
      </w:r>
      <w:r w:rsidR="00FE12A9" w:rsidRPr="006F7E3E">
        <w:rPr>
          <w:bCs/>
        </w:rPr>
        <w:t>2.79 Å). Hydrogens have been omitted for clarity except those involved in hydrogen bonds Figure S9</w:t>
      </w:r>
      <w:r w:rsidR="00FE12A9" w:rsidRPr="006F7E3E">
        <w:rPr>
          <w:b/>
          <w:bCs/>
        </w:rPr>
        <w:t>.</w:t>
      </w:r>
      <w:r w:rsidR="00FE12A9" w:rsidRPr="006F7E3E">
        <w:t xml:space="preserve"> </w:t>
      </w:r>
      <w:bookmarkStart w:id="17" w:name="_Hlk38113599"/>
      <w:r w:rsidR="00FE12A9" w:rsidRPr="006F7E3E">
        <w:t>DFT-calculated (</w:t>
      </w:r>
      <w:r w:rsidR="003F6CE1" w:rsidRPr="006F7E3E">
        <w:t>ω</w:t>
      </w:r>
      <w:r w:rsidR="00FE12A9" w:rsidRPr="006F7E3E">
        <w:t>B97XD/6-31G**) energy profiles corresponding to the nucleophilic attack of the oxygen of the alcohol on the carbonyl carbon for complexes I (blue) and II (red). The energy barriers between reactants and transition states are relative to its reactants. The optimized reactants (left), transition states (center) and products (right) geometries of all the complexes are also displayed</w:t>
      </w:r>
      <w:bookmarkEnd w:id="17"/>
      <w:r w:rsidR="00FE12A9" w:rsidRPr="006F7E3E">
        <w:t>. Hydrogens have been omitted for clarity, except those involved in hydrogen bonds.</w:t>
      </w:r>
    </w:p>
    <w:p w14:paraId="23779226" w14:textId="77777777" w:rsidR="00E93E70" w:rsidRPr="006F7E3E" w:rsidRDefault="00E93E70" w:rsidP="00E93E70">
      <w:pPr>
        <w:pStyle w:val="MDPI62Acknowledgments"/>
        <w:spacing w:before="240" w:after="120"/>
      </w:pPr>
      <w:commentRangeStart w:id="18"/>
      <w:r w:rsidRPr="006F7E3E">
        <w:rPr>
          <w:b/>
        </w:rPr>
        <w:t>Author</w:t>
      </w:r>
      <w:commentRangeEnd w:id="18"/>
      <w:r w:rsidR="001E18A8" w:rsidRPr="006F7E3E">
        <w:rPr>
          <w:rStyle w:val="Marquedecommentaire"/>
          <w:rFonts w:ascii="Times New Roman" w:hAnsi="Times New Roman"/>
          <w:snapToGrid/>
          <w:lang w:bidi="ar-SA"/>
        </w:rPr>
        <w:commentReference w:id="18"/>
      </w:r>
      <w:r w:rsidRPr="006F7E3E">
        <w:rPr>
          <w:b/>
        </w:rPr>
        <w:t xml:space="preserve"> Contributions: </w:t>
      </w:r>
      <w:r w:rsidRPr="006F7E3E">
        <w:t>Conceptualization, O.C.; methodology, O.C.; software, S.H., V.L. and R.L.; validation, O.C, D.T., A.D. and R.L.; formal analysis, S.M., B.H., K.D.C. and O.C.; investigation, S.M. and S.H.; resources, O.C. and R.L.; data curation, O.C, A.D. and V.L.; writing—original draft preparation, O.C., A.D., V.L. and R.L.; writing—review and editing, O.C., A.D. and R.L.; visualization, O.C.; supervision, O.C.; project administration, O.C. and R.L.; funding acquisition, O.C. All authors have read and agreed to the published version of the manuscript.</w:t>
      </w:r>
    </w:p>
    <w:p w14:paraId="0D02D64B" w14:textId="34811C49" w:rsidR="00E93E70" w:rsidRPr="006F7E3E" w:rsidRDefault="00E93E70" w:rsidP="00E93E70">
      <w:pPr>
        <w:pStyle w:val="MDPI62Acknowledgments"/>
        <w:spacing w:after="120"/>
      </w:pPr>
      <w:r w:rsidRPr="006F7E3E">
        <w:rPr>
          <w:b/>
        </w:rPr>
        <w:t xml:space="preserve">Funding: </w:t>
      </w:r>
      <w:r w:rsidRPr="006F7E3E">
        <w:rPr>
          <w:szCs w:val="18"/>
        </w:rPr>
        <w:t xml:space="preserve">This research was funded by the European Commission and Region </w:t>
      </w:r>
      <w:proofErr w:type="spellStart"/>
      <w:r w:rsidRPr="006F7E3E">
        <w:rPr>
          <w:szCs w:val="18"/>
        </w:rPr>
        <w:t>Wallonne</w:t>
      </w:r>
      <w:proofErr w:type="spellEnd"/>
      <w:r w:rsidRPr="006F7E3E">
        <w:rPr>
          <w:szCs w:val="18"/>
        </w:rPr>
        <w:t xml:space="preserve"> FEDER program (BIORGEL project), and by the FNRS-</w:t>
      </w:r>
      <w:r w:rsidRPr="006F7E3E">
        <w:rPr>
          <w:rFonts w:cs="Arial"/>
          <w:szCs w:val="18"/>
        </w:rPr>
        <w:t xml:space="preserve">FRFC (Consortium des </w:t>
      </w:r>
      <w:proofErr w:type="spellStart"/>
      <w:r w:rsidRPr="006F7E3E">
        <w:rPr>
          <w:rFonts w:cs="Arial"/>
          <w:szCs w:val="18"/>
        </w:rPr>
        <w:t>Équipements</w:t>
      </w:r>
      <w:proofErr w:type="spellEnd"/>
      <w:r w:rsidRPr="006F7E3E">
        <w:rPr>
          <w:rFonts w:cs="Arial"/>
          <w:szCs w:val="18"/>
        </w:rPr>
        <w:t xml:space="preserve"> de </w:t>
      </w:r>
      <w:proofErr w:type="spellStart"/>
      <w:r w:rsidRPr="006F7E3E">
        <w:rPr>
          <w:rFonts w:cs="Arial"/>
          <w:szCs w:val="18"/>
        </w:rPr>
        <w:t>Calcul</w:t>
      </w:r>
      <w:proofErr w:type="spellEnd"/>
      <w:r w:rsidRPr="006F7E3E">
        <w:rPr>
          <w:rFonts w:cs="Arial"/>
          <w:szCs w:val="18"/>
        </w:rPr>
        <w:t xml:space="preserve"> </w:t>
      </w:r>
      <w:proofErr w:type="spellStart"/>
      <w:r w:rsidRPr="006F7E3E">
        <w:rPr>
          <w:rFonts w:cs="Arial"/>
          <w:szCs w:val="18"/>
        </w:rPr>
        <w:t>Intensif</w:t>
      </w:r>
      <w:proofErr w:type="spellEnd"/>
      <w:r w:rsidR="00A4369C" w:rsidRPr="006F7E3E">
        <w:rPr>
          <w:rFonts w:cs="Arial"/>
          <w:szCs w:val="18"/>
        </w:rPr>
        <w:t>—</w:t>
      </w:r>
      <w:r w:rsidRPr="006F7E3E">
        <w:rPr>
          <w:rFonts w:cs="Arial"/>
          <w:szCs w:val="18"/>
        </w:rPr>
        <w:t>CÉCI).</w:t>
      </w:r>
      <w:r w:rsidRPr="006F7E3E">
        <w:rPr>
          <w:szCs w:val="18"/>
        </w:rPr>
        <w:t xml:space="preserve"> The </w:t>
      </w:r>
      <w:proofErr w:type="spellStart"/>
      <w:r w:rsidRPr="006F7E3E">
        <w:rPr>
          <w:szCs w:val="18"/>
        </w:rPr>
        <w:t>bioprofiling</w:t>
      </w:r>
      <w:proofErr w:type="spellEnd"/>
      <w:r w:rsidRPr="006F7E3E">
        <w:rPr>
          <w:szCs w:val="18"/>
        </w:rPr>
        <w:t xml:space="preserve"> platform was supported by the European Regional Development Fund and the Walloon Region, Belgium.</w:t>
      </w:r>
    </w:p>
    <w:p w14:paraId="1131E9CB" w14:textId="33DE40B8" w:rsidR="00900A4E" w:rsidRPr="006F7E3E" w:rsidRDefault="00AD778A" w:rsidP="00E93E70">
      <w:pPr>
        <w:pStyle w:val="MDPI62Acknowledgments"/>
        <w:spacing w:after="120"/>
      </w:pPr>
      <w:r w:rsidRPr="006F7E3E">
        <w:rPr>
          <w:b/>
        </w:rPr>
        <w:t>Acknowledgments:</w:t>
      </w:r>
      <w:r w:rsidRPr="006F7E3E">
        <w:t xml:space="preserve"> </w:t>
      </w:r>
      <w:r w:rsidR="003A150F" w:rsidRPr="006F7E3E">
        <w:rPr>
          <w:szCs w:val="18"/>
        </w:rPr>
        <w:t xml:space="preserve">O.C. is </w:t>
      </w:r>
      <w:r w:rsidR="00A4369C" w:rsidRPr="006F7E3E">
        <w:rPr>
          <w:szCs w:val="18"/>
        </w:rPr>
        <w:t>r</w:t>
      </w:r>
      <w:r w:rsidR="003A150F" w:rsidRPr="006F7E3E">
        <w:rPr>
          <w:szCs w:val="18"/>
        </w:rPr>
        <w:t xml:space="preserve">esearch </w:t>
      </w:r>
      <w:r w:rsidR="00A4369C" w:rsidRPr="006F7E3E">
        <w:rPr>
          <w:szCs w:val="18"/>
        </w:rPr>
        <w:t>a</w:t>
      </w:r>
      <w:r w:rsidR="003A150F" w:rsidRPr="006F7E3E">
        <w:rPr>
          <w:szCs w:val="18"/>
        </w:rPr>
        <w:t xml:space="preserve">ssociate for the F.R.S.-FNRS. S.H. is grateful to the FRIA for financial support. </w:t>
      </w:r>
      <w:commentRangeStart w:id="19"/>
      <w:proofErr w:type="spellStart"/>
      <w:r w:rsidR="003A150F" w:rsidRPr="006F7E3E">
        <w:rPr>
          <w:szCs w:val="18"/>
        </w:rPr>
        <w:t>Corbion</w:t>
      </w:r>
      <w:proofErr w:type="spellEnd"/>
      <w:r w:rsidR="00A4369C" w:rsidRPr="006F7E3E">
        <w:rPr>
          <w:szCs w:val="18"/>
        </w:rPr>
        <w:t xml:space="preserve"> and </w:t>
      </w:r>
      <w:proofErr w:type="spellStart"/>
      <w:r w:rsidR="003A150F" w:rsidRPr="006F7E3E">
        <w:rPr>
          <w:szCs w:val="18"/>
        </w:rPr>
        <w:t>Purac</w:t>
      </w:r>
      <w:proofErr w:type="spellEnd"/>
      <w:r w:rsidR="003A150F" w:rsidRPr="006F7E3E">
        <w:rPr>
          <w:szCs w:val="18"/>
        </w:rPr>
        <w:t xml:space="preserve"> </w:t>
      </w:r>
      <w:commentRangeEnd w:id="19"/>
      <w:r w:rsidR="00A4369C" w:rsidRPr="006F7E3E">
        <w:rPr>
          <w:rStyle w:val="Marquedecommentaire"/>
          <w:rFonts w:ascii="Times New Roman" w:hAnsi="Times New Roman"/>
          <w:snapToGrid/>
          <w:lang w:bidi="ar-SA"/>
        </w:rPr>
        <w:commentReference w:id="19"/>
      </w:r>
      <w:r w:rsidR="003A150F" w:rsidRPr="006F7E3E">
        <w:rPr>
          <w:szCs w:val="18"/>
        </w:rPr>
        <w:t>are gratefully thanked for their gift of lactide isomers</w:t>
      </w:r>
      <w:r w:rsidR="003A150F" w:rsidRPr="006F7E3E">
        <w:rPr>
          <w:rFonts w:cs="Arno Pro"/>
          <w:szCs w:val="18"/>
        </w:rPr>
        <w:t>.</w:t>
      </w:r>
    </w:p>
    <w:p w14:paraId="42E2D634" w14:textId="47E24440" w:rsidR="00807E37" w:rsidRPr="006F7E3E" w:rsidRDefault="00900A4E" w:rsidP="00E93E70">
      <w:pPr>
        <w:pStyle w:val="MDPI64CoI"/>
        <w:spacing w:after="240" w:line="200" w:lineRule="atLeast"/>
      </w:pPr>
      <w:r w:rsidRPr="006F7E3E">
        <w:rPr>
          <w:b/>
        </w:rPr>
        <w:t>Conflicts of Interest:</w:t>
      </w:r>
      <w:r w:rsidRPr="006F7E3E">
        <w:t xml:space="preserve"> The authors declare no conflict</w:t>
      </w:r>
      <w:r w:rsidR="00A4369C" w:rsidRPr="006F7E3E">
        <w:t>s</w:t>
      </w:r>
      <w:r w:rsidRPr="006F7E3E">
        <w:t xml:space="preserve"> of interest.</w:t>
      </w:r>
    </w:p>
    <w:p w14:paraId="30617BC2" w14:textId="77777777" w:rsidR="00DD11A4" w:rsidRPr="006F7E3E" w:rsidRDefault="00DD11A4" w:rsidP="00DD11A4">
      <w:pPr>
        <w:pStyle w:val="MDPI21heading1"/>
      </w:pPr>
      <w:r w:rsidRPr="006F7E3E">
        <w:t>References</w:t>
      </w:r>
    </w:p>
    <w:p w14:paraId="26D59386" w14:textId="77777777" w:rsidR="00DD11A4" w:rsidRPr="006F7E3E" w:rsidRDefault="00DD11A4" w:rsidP="00DD11A4">
      <w:pPr>
        <w:pStyle w:val="MDPI71References"/>
        <w:numPr>
          <w:ilvl w:val="0"/>
          <w:numId w:val="3"/>
        </w:numPr>
        <w:adjustRightInd w:val="0"/>
        <w:snapToGrid w:val="0"/>
        <w:ind w:left="425" w:hanging="425"/>
      </w:pPr>
      <w:r w:rsidRPr="006F7E3E">
        <w:rPr>
          <w:noProof/>
        </w:rPr>
        <w:lastRenderedPageBreak/>
        <w:t xml:space="preserve">Okada, M. Chemical Synthesis of Biodegradable Polymers. </w:t>
      </w:r>
      <w:r w:rsidRPr="006F7E3E">
        <w:rPr>
          <w:i/>
          <w:iCs/>
          <w:noProof/>
        </w:rPr>
        <w:t>Prog. Polym. Sci.</w:t>
      </w:r>
      <w:r w:rsidRPr="006F7E3E">
        <w:rPr>
          <w:noProof/>
        </w:rPr>
        <w:t xml:space="preserve"> </w:t>
      </w:r>
      <w:r w:rsidRPr="006F7E3E">
        <w:rPr>
          <w:b/>
          <w:bCs/>
          <w:noProof/>
        </w:rPr>
        <w:t>2002</w:t>
      </w:r>
      <w:r w:rsidRPr="006F7E3E">
        <w:rPr>
          <w:bCs/>
          <w:noProof/>
        </w:rPr>
        <w:t xml:space="preserve">, </w:t>
      </w:r>
      <w:r w:rsidRPr="006F7E3E">
        <w:rPr>
          <w:bCs/>
          <w:i/>
          <w:noProof/>
        </w:rPr>
        <w:t>27</w:t>
      </w:r>
      <w:r w:rsidRPr="006F7E3E">
        <w:rPr>
          <w:bCs/>
          <w:noProof/>
        </w:rPr>
        <w:t>, 87–133</w:t>
      </w:r>
      <w:r w:rsidRPr="006F7E3E">
        <w:rPr>
          <w:noProof/>
        </w:rPr>
        <w:t>.</w:t>
      </w:r>
    </w:p>
    <w:p w14:paraId="6A89518C" w14:textId="77777777" w:rsidR="00DD11A4" w:rsidRPr="006F7E3E" w:rsidRDefault="00DD11A4" w:rsidP="00DD11A4">
      <w:pPr>
        <w:pStyle w:val="MDPI71References"/>
        <w:numPr>
          <w:ilvl w:val="0"/>
          <w:numId w:val="3"/>
        </w:numPr>
        <w:adjustRightInd w:val="0"/>
        <w:snapToGrid w:val="0"/>
        <w:ind w:left="425" w:hanging="425"/>
      </w:pPr>
      <w:r w:rsidRPr="006F7E3E">
        <w:rPr>
          <w:noProof/>
        </w:rPr>
        <w:t xml:space="preserve">Thomas, C.M. Stereocontrolled Ring-Opening Polymerization of Cyclic Esters: Synthesis of New Polyester Microstructures. </w:t>
      </w:r>
      <w:r w:rsidRPr="006F7E3E">
        <w:rPr>
          <w:i/>
          <w:iCs/>
          <w:noProof/>
        </w:rPr>
        <w:t>Chem. Soc. Rev.</w:t>
      </w:r>
      <w:r w:rsidRPr="006F7E3E">
        <w:rPr>
          <w:noProof/>
        </w:rPr>
        <w:t xml:space="preserve"> </w:t>
      </w:r>
      <w:r w:rsidRPr="006F7E3E">
        <w:rPr>
          <w:b/>
          <w:bCs/>
          <w:noProof/>
        </w:rPr>
        <w:t>2010</w:t>
      </w:r>
      <w:r w:rsidRPr="006F7E3E">
        <w:rPr>
          <w:bCs/>
          <w:noProof/>
        </w:rPr>
        <w:t xml:space="preserve">, </w:t>
      </w:r>
      <w:r w:rsidRPr="006F7E3E">
        <w:rPr>
          <w:bCs/>
          <w:i/>
          <w:noProof/>
        </w:rPr>
        <w:t>39</w:t>
      </w:r>
      <w:r w:rsidRPr="006F7E3E">
        <w:rPr>
          <w:bCs/>
          <w:noProof/>
        </w:rPr>
        <w:t>, 165–173</w:t>
      </w:r>
      <w:r w:rsidRPr="006F7E3E">
        <w:rPr>
          <w:noProof/>
        </w:rPr>
        <w:t>.</w:t>
      </w:r>
    </w:p>
    <w:p w14:paraId="310A47D8" w14:textId="77777777" w:rsidR="00DD11A4" w:rsidRPr="006F7E3E" w:rsidRDefault="00DD11A4" w:rsidP="00DD11A4">
      <w:pPr>
        <w:pStyle w:val="MDPI71References"/>
        <w:numPr>
          <w:ilvl w:val="0"/>
          <w:numId w:val="3"/>
        </w:numPr>
        <w:adjustRightInd w:val="0"/>
        <w:snapToGrid w:val="0"/>
        <w:ind w:left="425" w:hanging="425"/>
      </w:pPr>
      <w:r w:rsidRPr="006F7E3E">
        <w:rPr>
          <w:noProof/>
        </w:rPr>
        <w:t xml:space="preserve">Spassky, N.; Pluta, C.; Simic, V.; Thiam, M.; Wisniewski, M. Stereochemical Aspects of the Controlled Ring-Opening Polymerization of Chiral Cyclic Esters. </w:t>
      </w:r>
      <w:r w:rsidRPr="006F7E3E">
        <w:rPr>
          <w:i/>
          <w:iCs/>
          <w:noProof/>
        </w:rPr>
        <w:t>Macromol. Symp.</w:t>
      </w:r>
      <w:r w:rsidRPr="006F7E3E">
        <w:rPr>
          <w:noProof/>
        </w:rPr>
        <w:t xml:space="preserve"> </w:t>
      </w:r>
      <w:r w:rsidRPr="006F7E3E">
        <w:rPr>
          <w:b/>
          <w:bCs/>
          <w:noProof/>
        </w:rPr>
        <w:t>1998</w:t>
      </w:r>
      <w:r w:rsidRPr="006F7E3E">
        <w:rPr>
          <w:bCs/>
          <w:noProof/>
        </w:rPr>
        <w:t xml:space="preserve">, </w:t>
      </w:r>
      <w:r w:rsidRPr="006F7E3E">
        <w:rPr>
          <w:bCs/>
          <w:i/>
          <w:noProof/>
        </w:rPr>
        <w:t>128</w:t>
      </w:r>
      <w:r w:rsidRPr="006F7E3E">
        <w:rPr>
          <w:bCs/>
          <w:noProof/>
        </w:rPr>
        <w:t>, 39–51</w:t>
      </w:r>
      <w:r w:rsidRPr="006F7E3E">
        <w:rPr>
          <w:noProof/>
        </w:rPr>
        <w:t>.</w:t>
      </w:r>
    </w:p>
    <w:p w14:paraId="7272F717" w14:textId="77777777" w:rsidR="00DD11A4" w:rsidRPr="006F7E3E" w:rsidRDefault="00DD11A4" w:rsidP="00DD11A4">
      <w:pPr>
        <w:pStyle w:val="MDPI71References"/>
        <w:numPr>
          <w:ilvl w:val="0"/>
          <w:numId w:val="3"/>
        </w:numPr>
        <w:adjustRightInd w:val="0"/>
        <w:snapToGrid w:val="0"/>
        <w:ind w:left="425" w:hanging="425"/>
      </w:pPr>
      <w:r w:rsidRPr="006F7E3E">
        <w:rPr>
          <w:noProof/>
        </w:rPr>
        <w:t xml:space="preserve">Ovitt, T.M.; Coates, G.W. Stereochemistry of Lactide Polymerization with Chiral Catalysts: New Opportunities for Stereocontrol Using Polymer Exchange Mechanisms. </w:t>
      </w:r>
      <w:r w:rsidRPr="006F7E3E">
        <w:rPr>
          <w:i/>
          <w:iCs/>
          <w:noProof/>
        </w:rPr>
        <w:t>J. Am. Chem. Soc.</w:t>
      </w:r>
      <w:r w:rsidRPr="006F7E3E">
        <w:rPr>
          <w:noProof/>
        </w:rPr>
        <w:t xml:space="preserve"> </w:t>
      </w:r>
      <w:r w:rsidRPr="006F7E3E">
        <w:rPr>
          <w:b/>
          <w:bCs/>
          <w:noProof/>
        </w:rPr>
        <w:t>2002</w:t>
      </w:r>
      <w:r w:rsidRPr="006F7E3E">
        <w:rPr>
          <w:bCs/>
          <w:noProof/>
        </w:rPr>
        <w:t xml:space="preserve">, </w:t>
      </w:r>
      <w:r w:rsidRPr="006F7E3E">
        <w:rPr>
          <w:bCs/>
          <w:i/>
          <w:noProof/>
        </w:rPr>
        <w:t>124</w:t>
      </w:r>
      <w:r w:rsidRPr="006F7E3E">
        <w:rPr>
          <w:bCs/>
          <w:noProof/>
        </w:rPr>
        <w:t>, 1316–1326</w:t>
      </w:r>
      <w:r w:rsidRPr="006F7E3E">
        <w:rPr>
          <w:noProof/>
        </w:rPr>
        <w:t>.</w:t>
      </w:r>
    </w:p>
    <w:p w14:paraId="3F7E3474" w14:textId="77777777" w:rsidR="00DD11A4" w:rsidRPr="006F7E3E" w:rsidRDefault="00DD11A4" w:rsidP="00DD11A4">
      <w:pPr>
        <w:pStyle w:val="MDPI71References"/>
        <w:numPr>
          <w:ilvl w:val="0"/>
          <w:numId w:val="3"/>
        </w:numPr>
        <w:adjustRightInd w:val="0"/>
        <w:snapToGrid w:val="0"/>
        <w:ind w:left="425" w:hanging="425"/>
      </w:pPr>
      <w:proofErr w:type="spellStart"/>
      <w:r w:rsidRPr="006F7E3E">
        <w:t>Worch</w:t>
      </w:r>
      <w:proofErr w:type="spellEnd"/>
      <w:r w:rsidRPr="006F7E3E">
        <w:t xml:space="preserve">, J.C.; </w:t>
      </w:r>
      <w:proofErr w:type="spellStart"/>
      <w:r w:rsidRPr="006F7E3E">
        <w:t>Prydderch</w:t>
      </w:r>
      <w:proofErr w:type="spellEnd"/>
      <w:r w:rsidRPr="006F7E3E">
        <w:t xml:space="preserve">, H.; </w:t>
      </w:r>
      <w:proofErr w:type="spellStart"/>
      <w:r w:rsidRPr="006F7E3E">
        <w:t>Jimaja</w:t>
      </w:r>
      <w:proofErr w:type="spellEnd"/>
      <w:r w:rsidRPr="006F7E3E">
        <w:t xml:space="preserve">, S.; </w:t>
      </w:r>
      <w:proofErr w:type="spellStart"/>
      <w:r w:rsidRPr="006F7E3E">
        <w:t>Bexis</w:t>
      </w:r>
      <w:proofErr w:type="spellEnd"/>
      <w:r w:rsidRPr="006F7E3E">
        <w:t xml:space="preserve">, P.; Becker, M.L., Dove, A.P. Stereochemical enhancement of polymer properties. </w:t>
      </w:r>
      <w:r w:rsidRPr="006F7E3E">
        <w:rPr>
          <w:i/>
          <w:iCs/>
        </w:rPr>
        <w:t xml:space="preserve">Nat. Rev. Chem. </w:t>
      </w:r>
      <w:r w:rsidRPr="006F7E3E">
        <w:rPr>
          <w:b/>
          <w:bCs/>
        </w:rPr>
        <w:t>2019</w:t>
      </w:r>
      <w:r w:rsidRPr="006F7E3E">
        <w:rPr>
          <w:bCs/>
        </w:rPr>
        <w:t xml:space="preserve">, </w:t>
      </w:r>
      <w:r w:rsidRPr="006F7E3E">
        <w:rPr>
          <w:bCs/>
          <w:i/>
        </w:rPr>
        <w:t>3</w:t>
      </w:r>
      <w:r w:rsidRPr="006F7E3E">
        <w:rPr>
          <w:bCs/>
        </w:rPr>
        <w:t>, 514–535</w:t>
      </w:r>
      <w:r w:rsidRPr="006F7E3E">
        <w:t>.</w:t>
      </w:r>
    </w:p>
    <w:p w14:paraId="67AF0CCC" w14:textId="77777777" w:rsidR="00DD11A4" w:rsidRPr="006F7E3E" w:rsidRDefault="00DD11A4" w:rsidP="00DD11A4">
      <w:pPr>
        <w:pStyle w:val="MDPI71References"/>
        <w:numPr>
          <w:ilvl w:val="0"/>
          <w:numId w:val="3"/>
        </w:numPr>
        <w:adjustRightInd w:val="0"/>
        <w:snapToGrid w:val="0"/>
        <w:ind w:left="425" w:hanging="425"/>
      </w:pPr>
      <w:r w:rsidRPr="006F7E3E">
        <w:rPr>
          <w:noProof/>
        </w:rPr>
        <w:t xml:space="preserve">Stanford, M.J.; Dove, A.P. Stereocontrolled Ring-Opening Polymerisation of Lactide. </w:t>
      </w:r>
      <w:r w:rsidRPr="006F7E3E">
        <w:rPr>
          <w:i/>
          <w:iCs/>
          <w:noProof/>
        </w:rPr>
        <w:t>Chem. Soc. Rev.</w:t>
      </w:r>
      <w:r w:rsidRPr="006F7E3E">
        <w:rPr>
          <w:noProof/>
        </w:rPr>
        <w:t xml:space="preserve"> </w:t>
      </w:r>
      <w:r w:rsidRPr="006F7E3E">
        <w:rPr>
          <w:b/>
          <w:bCs/>
          <w:noProof/>
        </w:rPr>
        <w:t>2010</w:t>
      </w:r>
      <w:r w:rsidRPr="006F7E3E">
        <w:rPr>
          <w:bCs/>
          <w:noProof/>
        </w:rPr>
        <w:t xml:space="preserve">, </w:t>
      </w:r>
      <w:r w:rsidRPr="006F7E3E">
        <w:rPr>
          <w:bCs/>
          <w:i/>
          <w:noProof/>
        </w:rPr>
        <w:t>39</w:t>
      </w:r>
      <w:r w:rsidRPr="006F7E3E">
        <w:rPr>
          <w:bCs/>
          <w:noProof/>
        </w:rPr>
        <w:t>, 486–494</w:t>
      </w:r>
      <w:r w:rsidRPr="006F7E3E">
        <w:rPr>
          <w:noProof/>
        </w:rPr>
        <w:t>.</w:t>
      </w:r>
    </w:p>
    <w:p w14:paraId="418AD2F7" w14:textId="77777777" w:rsidR="00DD11A4" w:rsidRPr="006F7E3E" w:rsidRDefault="00DD11A4" w:rsidP="00DD11A4">
      <w:pPr>
        <w:pStyle w:val="MDPI71References"/>
        <w:numPr>
          <w:ilvl w:val="0"/>
          <w:numId w:val="3"/>
        </w:numPr>
        <w:adjustRightInd w:val="0"/>
        <w:snapToGrid w:val="0"/>
        <w:ind w:left="425" w:hanging="425"/>
      </w:pPr>
      <w:r w:rsidRPr="006F7E3E">
        <w:rPr>
          <w:noProof/>
        </w:rPr>
        <w:t xml:space="preserve">Dijkstra, P.J.; Du, H.; Feijen, J. Single site catalysts for stereoselective ring-opening polymerization of lactide. </w:t>
      </w:r>
      <w:r w:rsidRPr="006F7E3E">
        <w:rPr>
          <w:i/>
          <w:iCs/>
          <w:noProof/>
        </w:rPr>
        <w:t>Polym. Chem.</w:t>
      </w:r>
      <w:r w:rsidRPr="006F7E3E">
        <w:rPr>
          <w:noProof/>
        </w:rPr>
        <w:t xml:space="preserve"> </w:t>
      </w:r>
      <w:r w:rsidRPr="006F7E3E">
        <w:rPr>
          <w:b/>
          <w:bCs/>
          <w:noProof/>
        </w:rPr>
        <w:t>2011</w:t>
      </w:r>
      <w:r w:rsidRPr="006F7E3E">
        <w:rPr>
          <w:bCs/>
          <w:noProof/>
        </w:rPr>
        <w:t xml:space="preserve">, </w:t>
      </w:r>
      <w:r w:rsidRPr="006F7E3E">
        <w:rPr>
          <w:bCs/>
          <w:i/>
          <w:noProof/>
        </w:rPr>
        <w:t>2</w:t>
      </w:r>
      <w:r w:rsidRPr="006F7E3E">
        <w:rPr>
          <w:bCs/>
          <w:noProof/>
        </w:rPr>
        <w:t>, 520–527</w:t>
      </w:r>
      <w:r w:rsidRPr="006F7E3E">
        <w:rPr>
          <w:noProof/>
        </w:rPr>
        <w:t>.</w:t>
      </w:r>
    </w:p>
    <w:p w14:paraId="05CC13F1" w14:textId="77777777" w:rsidR="00DD11A4" w:rsidRPr="006F7E3E" w:rsidRDefault="00DD11A4" w:rsidP="00DD11A4">
      <w:pPr>
        <w:pStyle w:val="MDPI71References"/>
        <w:numPr>
          <w:ilvl w:val="0"/>
          <w:numId w:val="3"/>
        </w:numPr>
        <w:adjustRightInd w:val="0"/>
        <w:snapToGrid w:val="0"/>
        <w:ind w:left="425" w:hanging="425"/>
      </w:pPr>
      <w:r w:rsidRPr="006F7E3E">
        <w:rPr>
          <w:noProof/>
        </w:rPr>
        <w:t xml:space="preserve">Ottou, W.N.; Sardon, H.; Mecerreyes, D.; Vignolle, J.; Taton, D. Update and challenges in organo-mediated polymerization reactions. </w:t>
      </w:r>
      <w:r w:rsidRPr="006F7E3E">
        <w:rPr>
          <w:i/>
          <w:iCs/>
          <w:noProof/>
        </w:rPr>
        <w:t>Prog. Polym. Sci</w:t>
      </w:r>
      <w:r w:rsidRPr="006F7E3E">
        <w:rPr>
          <w:noProof/>
        </w:rPr>
        <w:t xml:space="preserve">. </w:t>
      </w:r>
      <w:r w:rsidRPr="006F7E3E">
        <w:rPr>
          <w:b/>
          <w:bCs/>
          <w:noProof/>
        </w:rPr>
        <w:t>2016</w:t>
      </w:r>
      <w:r w:rsidRPr="006F7E3E">
        <w:rPr>
          <w:bCs/>
          <w:noProof/>
        </w:rPr>
        <w:t xml:space="preserve">, </w:t>
      </w:r>
      <w:r w:rsidRPr="006F7E3E">
        <w:rPr>
          <w:bCs/>
          <w:i/>
          <w:noProof/>
        </w:rPr>
        <w:t>56</w:t>
      </w:r>
      <w:r w:rsidRPr="006F7E3E">
        <w:rPr>
          <w:bCs/>
          <w:noProof/>
        </w:rPr>
        <w:t>, 64–115</w:t>
      </w:r>
      <w:r w:rsidRPr="006F7E3E">
        <w:rPr>
          <w:noProof/>
        </w:rPr>
        <w:t>.</w:t>
      </w:r>
    </w:p>
    <w:p w14:paraId="0125BF99" w14:textId="77777777" w:rsidR="00DD11A4" w:rsidRPr="006F7E3E" w:rsidRDefault="00DD11A4" w:rsidP="00DD11A4">
      <w:pPr>
        <w:pStyle w:val="MDPI71References"/>
        <w:numPr>
          <w:ilvl w:val="0"/>
          <w:numId w:val="3"/>
        </w:numPr>
        <w:adjustRightInd w:val="0"/>
        <w:snapToGrid w:val="0"/>
        <w:ind w:left="425" w:hanging="425"/>
      </w:pPr>
      <w:r w:rsidRPr="006F7E3E">
        <w:rPr>
          <w:noProof/>
        </w:rPr>
        <w:t xml:space="preserve">Jensen, T.R.; Breyfogle, L.E.; Hillmyer, M.A.; Tolman, W.B. Stereoselective polymerization of D,L-lactide using N-heterocyclic carbene based compounds. </w:t>
      </w:r>
      <w:r w:rsidRPr="006F7E3E">
        <w:rPr>
          <w:i/>
          <w:iCs/>
          <w:noProof/>
        </w:rPr>
        <w:t>Chem. Comm</w:t>
      </w:r>
      <w:r w:rsidRPr="006F7E3E">
        <w:rPr>
          <w:noProof/>
        </w:rPr>
        <w:t xml:space="preserve">. </w:t>
      </w:r>
      <w:r w:rsidRPr="006F7E3E">
        <w:rPr>
          <w:b/>
          <w:bCs/>
          <w:noProof/>
        </w:rPr>
        <w:t>2004</w:t>
      </w:r>
      <w:r w:rsidRPr="006F7E3E">
        <w:rPr>
          <w:noProof/>
        </w:rPr>
        <w:t xml:space="preserve">, </w:t>
      </w:r>
      <w:commentRangeStart w:id="20"/>
      <w:r w:rsidRPr="006F7E3E">
        <w:rPr>
          <w:i/>
          <w:noProof/>
        </w:rPr>
        <w:t>10</w:t>
      </w:r>
      <w:commentRangeEnd w:id="20"/>
      <w:r w:rsidRPr="006F7E3E">
        <w:rPr>
          <w:rStyle w:val="Marquedecommentaire"/>
          <w:rFonts w:ascii="Times New Roman" w:hAnsi="Times New Roman"/>
          <w:snapToGrid/>
          <w:lang w:bidi="ar-SA"/>
        </w:rPr>
        <w:commentReference w:id="20"/>
      </w:r>
      <w:r w:rsidRPr="006F7E3E">
        <w:rPr>
          <w:noProof/>
        </w:rPr>
        <w:t>, 2504</w:t>
      </w:r>
      <w:r w:rsidRPr="006F7E3E">
        <w:rPr>
          <w:bCs/>
          <w:noProof/>
        </w:rPr>
        <w:t>–</w:t>
      </w:r>
      <w:r w:rsidRPr="006F7E3E">
        <w:rPr>
          <w:noProof/>
        </w:rPr>
        <w:t>2505.</w:t>
      </w:r>
    </w:p>
    <w:p w14:paraId="20340928" w14:textId="77777777" w:rsidR="00DD11A4" w:rsidRPr="006F7E3E" w:rsidRDefault="00DD11A4" w:rsidP="00DD11A4">
      <w:pPr>
        <w:pStyle w:val="MDPI71References"/>
        <w:numPr>
          <w:ilvl w:val="0"/>
          <w:numId w:val="3"/>
        </w:numPr>
        <w:adjustRightInd w:val="0"/>
        <w:snapToGrid w:val="0"/>
        <w:ind w:left="425" w:hanging="425"/>
      </w:pPr>
      <w:r w:rsidRPr="006F7E3E">
        <w:rPr>
          <w:noProof/>
        </w:rPr>
        <w:t xml:space="preserve">Dove, A.P.; Li, H.; Pratt, R.C.; Lohmeijer, B.G.G.; Culkin, D.A.; Waymouth, R.M.; Hedrick, J.L. Stereoselective Polymerization of Rac- and Meso-Lactide Catalyzed by Sterically Encumbered N-Heterocyclic Carbenes. </w:t>
      </w:r>
      <w:r w:rsidRPr="006F7E3E">
        <w:rPr>
          <w:i/>
          <w:iCs/>
          <w:noProof/>
        </w:rPr>
        <w:t>Chem. Commun.</w:t>
      </w:r>
      <w:r w:rsidRPr="006F7E3E">
        <w:rPr>
          <w:noProof/>
        </w:rPr>
        <w:t xml:space="preserve"> </w:t>
      </w:r>
      <w:r w:rsidRPr="006F7E3E">
        <w:rPr>
          <w:b/>
          <w:bCs/>
          <w:noProof/>
        </w:rPr>
        <w:t>2006</w:t>
      </w:r>
      <w:r w:rsidRPr="006F7E3E">
        <w:rPr>
          <w:noProof/>
        </w:rPr>
        <w:t xml:space="preserve">, </w:t>
      </w:r>
      <w:r w:rsidRPr="006F7E3E">
        <w:rPr>
          <w:i/>
          <w:noProof/>
        </w:rPr>
        <w:t>27</w:t>
      </w:r>
      <w:r w:rsidRPr="006F7E3E">
        <w:rPr>
          <w:noProof/>
        </w:rPr>
        <w:t>, 2881.</w:t>
      </w:r>
    </w:p>
    <w:p w14:paraId="074FFC55" w14:textId="77777777" w:rsidR="00DD11A4" w:rsidRPr="006F7E3E" w:rsidRDefault="00DD11A4" w:rsidP="00DD11A4">
      <w:pPr>
        <w:pStyle w:val="MDPI71References"/>
        <w:numPr>
          <w:ilvl w:val="0"/>
          <w:numId w:val="3"/>
        </w:numPr>
        <w:adjustRightInd w:val="0"/>
        <w:snapToGrid w:val="0"/>
        <w:ind w:left="425" w:hanging="425"/>
      </w:pPr>
      <w:r w:rsidRPr="006F7E3E">
        <w:rPr>
          <w:noProof/>
        </w:rPr>
        <w:t xml:space="preserve">Pratt, R.C.; Lohmeijer, B.G.G.; Long, D.A.; Lundberg, P.N.P.; Dove, A.P.; Li, H.; Wade, C.G.; Waymouth, R.M.; Hedrick, J.L. Exploration , Optimization , and Application of Supramolecular Thiourea- Amine Catalysts for the Synthesis of Lactide (Co)Polymers. </w:t>
      </w:r>
      <w:r w:rsidRPr="006F7E3E">
        <w:rPr>
          <w:i/>
          <w:iCs/>
          <w:noProof/>
        </w:rPr>
        <w:t>Macromolecules</w:t>
      </w:r>
      <w:r w:rsidRPr="006F7E3E">
        <w:rPr>
          <w:noProof/>
        </w:rPr>
        <w:t xml:space="preserve"> </w:t>
      </w:r>
      <w:r w:rsidRPr="006F7E3E">
        <w:rPr>
          <w:b/>
          <w:bCs/>
          <w:noProof/>
        </w:rPr>
        <w:t>2006</w:t>
      </w:r>
      <w:r w:rsidRPr="006F7E3E">
        <w:rPr>
          <w:bCs/>
          <w:noProof/>
        </w:rPr>
        <w:t xml:space="preserve">, </w:t>
      </w:r>
      <w:r w:rsidRPr="006F7E3E">
        <w:rPr>
          <w:bCs/>
          <w:i/>
          <w:noProof/>
        </w:rPr>
        <w:t>39</w:t>
      </w:r>
      <w:r w:rsidRPr="006F7E3E">
        <w:rPr>
          <w:bCs/>
          <w:noProof/>
        </w:rPr>
        <w:t>, 7863–7871</w:t>
      </w:r>
      <w:r w:rsidRPr="006F7E3E">
        <w:rPr>
          <w:noProof/>
        </w:rPr>
        <w:t>.</w:t>
      </w:r>
    </w:p>
    <w:p w14:paraId="228FFBB8" w14:textId="77777777" w:rsidR="00DD11A4" w:rsidRPr="006F7E3E" w:rsidRDefault="00DD11A4" w:rsidP="00DD11A4">
      <w:pPr>
        <w:pStyle w:val="MDPI71References"/>
        <w:numPr>
          <w:ilvl w:val="0"/>
          <w:numId w:val="3"/>
        </w:numPr>
        <w:adjustRightInd w:val="0"/>
        <w:snapToGrid w:val="0"/>
        <w:ind w:left="425" w:hanging="425"/>
      </w:pPr>
      <w:r w:rsidRPr="006F7E3E">
        <w:rPr>
          <w:noProof/>
        </w:rPr>
        <w:t xml:space="preserve">Zhang, L.; Nederberg, F.; Messman, J.M.; Pratt, R.C.; Hedrick, J.L.; Wade, C.G. Organocatalytic Stereoselective Ring-Opening Polymerization of Lactide with Dimeric Phosphazene Bases. </w:t>
      </w:r>
      <w:r w:rsidRPr="006F7E3E">
        <w:rPr>
          <w:i/>
          <w:iCs/>
          <w:noProof/>
        </w:rPr>
        <w:t>J. Am. Chem. Soc.</w:t>
      </w:r>
      <w:r w:rsidRPr="006F7E3E">
        <w:rPr>
          <w:noProof/>
        </w:rPr>
        <w:t xml:space="preserve"> </w:t>
      </w:r>
      <w:r w:rsidRPr="006F7E3E">
        <w:rPr>
          <w:b/>
          <w:bCs/>
          <w:noProof/>
        </w:rPr>
        <w:t>2007</w:t>
      </w:r>
      <w:r w:rsidRPr="006F7E3E">
        <w:rPr>
          <w:bCs/>
          <w:noProof/>
        </w:rPr>
        <w:t xml:space="preserve">, </w:t>
      </w:r>
      <w:r w:rsidRPr="006F7E3E">
        <w:rPr>
          <w:bCs/>
          <w:i/>
          <w:noProof/>
        </w:rPr>
        <w:t>129</w:t>
      </w:r>
      <w:r w:rsidRPr="006F7E3E">
        <w:rPr>
          <w:bCs/>
          <w:noProof/>
        </w:rPr>
        <w:t>, 12610–12611</w:t>
      </w:r>
      <w:r w:rsidRPr="006F7E3E">
        <w:rPr>
          <w:noProof/>
        </w:rPr>
        <w:t>.</w:t>
      </w:r>
    </w:p>
    <w:p w14:paraId="08B891D5" w14:textId="77777777" w:rsidR="00DD11A4" w:rsidRPr="006F7E3E" w:rsidRDefault="00DD11A4" w:rsidP="00DD11A4">
      <w:pPr>
        <w:pStyle w:val="MDPI71References"/>
        <w:numPr>
          <w:ilvl w:val="0"/>
          <w:numId w:val="3"/>
        </w:numPr>
        <w:adjustRightInd w:val="0"/>
        <w:snapToGrid w:val="0"/>
        <w:ind w:left="425" w:hanging="425"/>
      </w:pPr>
      <w:r w:rsidRPr="006F7E3E">
        <w:rPr>
          <w:noProof/>
        </w:rPr>
        <w:t xml:space="preserve">Miyake, G.M.; Chen, E.Y.X. Cinchona Alkaloids as Stereoselective Organocatalysts for the Partial Kinetic Resolution Polymerization of Rac-Lactide. </w:t>
      </w:r>
      <w:r w:rsidRPr="006F7E3E">
        <w:rPr>
          <w:i/>
          <w:iCs/>
          <w:noProof/>
        </w:rPr>
        <w:t>Macromolecules</w:t>
      </w:r>
      <w:r w:rsidRPr="006F7E3E">
        <w:rPr>
          <w:noProof/>
        </w:rPr>
        <w:t xml:space="preserve"> </w:t>
      </w:r>
      <w:r w:rsidRPr="006F7E3E">
        <w:rPr>
          <w:b/>
          <w:bCs/>
          <w:noProof/>
        </w:rPr>
        <w:t>2011</w:t>
      </w:r>
      <w:r w:rsidRPr="006F7E3E">
        <w:rPr>
          <w:bCs/>
          <w:noProof/>
        </w:rPr>
        <w:t xml:space="preserve">, </w:t>
      </w:r>
      <w:r w:rsidRPr="006F7E3E">
        <w:rPr>
          <w:bCs/>
          <w:i/>
          <w:noProof/>
        </w:rPr>
        <w:t>44</w:t>
      </w:r>
      <w:r w:rsidRPr="006F7E3E">
        <w:rPr>
          <w:bCs/>
          <w:noProof/>
        </w:rPr>
        <w:t>, 4116–4124</w:t>
      </w:r>
      <w:r w:rsidRPr="006F7E3E">
        <w:rPr>
          <w:noProof/>
        </w:rPr>
        <w:t>.</w:t>
      </w:r>
    </w:p>
    <w:p w14:paraId="2BBF5B41" w14:textId="77777777" w:rsidR="00DD11A4" w:rsidRPr="006F7E3E" w:rsidRDefault="00DD11A4" w:rsidP="00DD11A4">
      <w:pPr>
        <w:pStyle w:val="MDPI71References"/>
        <w:numPr>
          <w:ilvl w:val="0"/>
          <w:numId w:val="3"/>
        </w:numPr>
        <w:adjustRightInd w:val="0"/>
        <w:snapToGrid w:val="0"/>
        <w:ind w:left="425" w:hanging="425"/>
      </w:pPr>
      <w:r w:rsidRPr="006F7E3E">
        <w:rPr>
          <w:noProof/>
        </w:rPr>
        <w:t xml:space="preserve">Makiguchi, K.; Yamanaka, T.; Kakuchi, T.; Terada, M.; Satoh, T. Binaphthol-Derived Phosphoric Acids as Efficient Chiral Organocatalysts for the Enantiomer-Selective Polymerization of Rac-Lactide. </w:t>
      </w:r>
      <w:r w:rsidRPr="006F7E3E">
        <w:rPr>
          <w:i/>
          <w:iCs/>
          <w:noProof/>
        </w:rPr>
        <w:t>Chem. Commun.</w:t>
      </w:r>
      <w:r w:rsidRPr="006F7E3E">
        <w:rPr>
          <w:noProof/>
        </w:rPr>
        <w:t xml:space="preserve"> </w:t>
      </w:r>
      <w:r w:rsidRPr="006F7E3E">
        <w:rPr>
          <w:b/>
          <w:bCs/>
          <w:noProof/>
        </w:rPr>
        <w:t>2014</w:t>
      </w:r>
      <w:r w:rsidRPr="006F7E3E">
        <w:rPr>
          <w:bCs/>
          <w:noProof/>
        </w:rPr>
        <w:t xml:space="preserve">, </w:t>
      </w:r>
      <w:r w:rsidRPr="006F7E3E">
        <w:rPr>
          <w:bCs/>
          <w:i/>
          <w:noProof/>
        </w:rPr>
        <w:t>50</w:t>
      </w:r>
      <w:r w:rsidRPr="006F7E3E">
        <w:rPr>
          <w:bCs/>
          <w:noProof/>
        </w:rPr>
        <w:t>, 2883–2885</w:t>
      </w:r>
      <w:r w:rsidRPr="006F7E3E">
        <w:rPr>
          <w:noProof/>
        </w:rPr>
        <w:t>.</w:t>
      </w:r>
    </w:p>
    <w:p w14:paraId="671C97A7" w14:textId="77777777" w:rsidR="00DD11A4" w:rsidRPr="006F7E3E" w:rsidRDefault="00DD11A4" w:rsidP="00DD11A4">
      <w:pPr>
        <w:pStyle w:val="MDPI71References"/>
        <w:numPr>
          <w:ilvl w:val="0"/>
          <w:numId w:val="3"/>
        </w:numPr>
        <w:adjustRightInd w:val="0"/>
        <w:snapToGrid w:val="0"/>
        <w:ind w:left="425" w:hanging="425"/>
      </w:pPr>
      <w:r w:rsidRPr="006F7E3E">
        <w:rPr>
          <w:noProof/>
        </w:rPr>
        <w:t xml:space="preserve">Zhu, J.B.; Chen, E.Y.X. From Meso-Lactide to Isotactic Polylactide: Epimerization by B/N Lewis Pairs and Kinetic Resolution by Organic Catalysts. </w:t>
      </w:r>
      <w:r w:rsidRPr="006F7E3E">
        <w:rPr>
          <w:i/>
          <w:iCs/>
          <w:noProof/>
        </w:rPr>
        <w:t>J. Am. Chem. Soc.</w:t>
      </w:r>
      <w:r w:rsidRPr="006F7E3E">
        <w:rPr>
          <w:noProof/>
        </w:rPr>
        <w:t xml:space="preserve"> </w:t>
      </w:r>
      <w:r w:rsidRPr="006F7E3E">
        <w:rPr>
          <w:b/>
          <w:bCs/>
          <w:noProof/>
        </w:rPr>
        <w:t>2015</w:t>
      </w:r>
      <w:r w:rsidRPr="006F7E3E">
        <w:rPr>
          <w:bCs/>
          <w:noProof/>
        </w:rPr>
        <w:t xml:space="preserve">, </w:t>
      </w:r>
      <w:r w:rsidRPr="006F7E3E">
        <w:rPr>
          <w:bCs/>
          <w:i/>
          <w:noProof/>
        </w:rPr>
        <w:t>137</w:t>
      </w:r>
      <w:r w:rsidRPr="006F7E3E">
        <w:rPr>
          <w:bCs/>
          <w:noProof/>
        </w:rPr>
        <w:t>, 12506–12509</w:t>
      </w:r>
      <w:r w:rsidRPr="006F7E3E">
        <w:rPr>
          <w:noProof/>
        </w:rPr>
        <w:t>.</w:t>
      </w:r>
    </w:p>
    <w:p w14:paraId="4EF2CB5B" w14:textId="77777777" w:rsidR="00DD11A4" w:rsidRPr="006F7E3E" w:rsidRDefault="00DD11A4" w:rsidP="00DD11A4">
      <w:pPr>
        <w:pStyle w:val="MDPI71References"/>
        <w:numPr>
          <w:ilvl w:val="0"/>
          <w:numId w:val="3"/>
        </w:numPr>
        <w:adjustRightInd w:val="0"/>
        <w:snapToGrid w:val="0"/>
        <w:ind w:left="425" w:hanging="425"/>
      </w:pPr>
      <w:r w:rsidRPr="006F7E3E">
        <w:rPr>
          <w:noProof/>
        </w:rPr>
        <w:t xml:space="preserve">Sanchez-Sanchez, A.; Rivilla, I.; Agirre, M.; Basterretxea, A.; Etxeberria, A.; Veloso, A.; Sardon, H.; Mecerreyes, D.; Cossío, F.P. Enantioselective Ring-Opening Polymerization of Rac-Lactide Dictated by Densely Substituted Amino Acids. </w:t>
      </w:r>
      <w:r w:rsidRPr="006F7E3E">
        <w:rPr>
          <w:i/>
          <w:iCs/>
          <w:noProof/>
        </w:rPr>
        <w:t>J. Am. Chem. Soc.</w:t>
      </w:r>
      <w:r w:rsidRPr="006F7E3E">
        <w:rPr>
          <w:noProof/>
        </w:rPr>
        <w:t xml:space="preserve"> </w:t>
      </w:r>
      <w:r w:rsidRPr="006F7E3E">
        <w:rPr>
          <w:b/>
          <w:bCs/>
          <w:noProof/>
        </w:rPr>
        <w:t>2017</w:t>
      </w:r>
      <w:r w:rsidRPr="006F7E3E">
        <w:rPr>
          <w:bCs/>
          <w:noProof/>
        </w:rPr>
        <w:t xml:space="preserve">, </w:t>
      </w:r>
      <w:r w:rsidRPr="006F7E3E">
        <w:rPr>
          <w:bCs/>
          <w:i/>
          <w:noProof/>
        </w:rPr>
        <w:t>139</w:t>
      </w:r>
      <w:r w:rsidRPr="006F7E3E">
        <w:rPr>
          <w:bCs/>
          <w:noProof/>
        </w:rPr>
        <w:t>, 4805–4814</w:t>
      </w:r>
      <w:r w:rsidRPr="006F7E3E">
        <w:rPr>
          <w:noProof/>
        </w:rPr>
        <w:t>.</w:t>
      </w:r>
    </w:p>
    <w:p w14:paraId="53703095" w14:textId="77777777" w:rsidR="00DD11A4" w:rsidRPr="006F7E3E" w:rsidRDefault="00DD11A4" w:rsidP="00DD11A4">
      <w:pPr>
        <w:pStyle w:val="MDPI71References"/>
        <w:numPr>
          <w:ilvl w:val="0"/>
          <w:numId w:val="3"/>
        </w:numPr>
        <w:adjustRightInd w:val="0"/>
        <w:snapToGrid w:val="0"/>
        <w:ind w:left="425" w:hanging="425"/>
      </w:pPr>
      <w:r w:rsidRPr="006F7E3E">
        <w:rPr>
          <w:noProof/>
        </w:rPr>
        <w:t xml:space="preserve">Liu, S.; Li, H.; Zhao, N.; Li, Z. Stereoselective Ring-Opening Polymerization of Rac -Lactide Using Organocatalytic Cyclic Trimeric Phosphazene Base. </w:t>
      </w:r>
      <w:r w:rsidRPr="006F7E3E">
        <w:rPr>
          <w:i/>
          <w:iCs/>
          <w:noProof/>
        </w:rPr>
        <w:t>ACS Macro Lett.</w:t>
      </w:r>
      <w:r w:rsidRPr="006F7E3E">
        <w:rPr>
          <w:noProof/>
        </w:rPr>
        <w:t xml:space="preserve"> </w:t>
      </w:r>
      <w:r w:rsidRPr="006F7E3E">
        <w:rPr>
          <w:b/>
          <w:bCs/>
          <w:noProof/>
        </w:rPr>
        <w:t>2018</w:t>
      </w:r>
      <w:r w:rsidRPr="006F7E3E">
        <w:rPr>
          <w:bCs/>
          <w:noProof/>
        </w:rPr>
        <w:t xml:space="preserve">, </w:t>
      </w:r>
      <w:r w:rsidRPr="006F7E3E">
        <w:rPr>
          <w:bCs/>
          <w:i/>
          <w:noProof/>
        </w:rPr>
        <w:t>7</w:t>
      </w:r>
      <w:r w:rsidRPr="006F7E3E">
        <w:rPr>
          <w:bCs/>
          <w:noProof/>
        </w:rPr>
        <w:t>, 624–628</w:t>
      </w:r>
      <w:r w:rsidRPr="006F7E3E">
        <w:rPr>
          <w:noProof/>
        </w:rPr>
        <w:t>.</w:t>
      </w:r>
    </w:p>
    <w:p w14:paraId="1204ABC2" w14:textId="77777777" w:rsidR="00DD11A4" w:rsidRPr="006F7E3E" w:rsidRDefault="00DD11A4" w:rsidP="00DD11A4">
      <w:pPr>
        <w:pStyle w:val="MDPI71References"/>
        <w:numPr>
          <w:ilvl w:val="0"/>
          <w:numId w:val="3"/>
        </w:numPr>
        <w:adjustRightInd w:val="0"/>
        <w:snapToGrid w:val="0"/>
        <w:ind w:left="425" w:hanging="425"/>
      </w:pPr>
      <w:r w:rsidRPr="006F7E3E">
        <w:rPr>
          <w:noProof/>
        </w:rPr>
        <w:t xml:space="preserve">Orhan, B.; Tschan, M.J.-L.; Wirotius, A.-L.; Dove, A.P.; Coulembier, O.; Taton, D. Isoselective Ring-Opening Polymerization of rac-Lactide from Chiral Takemoto's Organocatalysts: Elucidation of Stereocontrol. </w:t>
      </w:r>
      <w:r w:rsidRPr="006F7E3E">
        <w:rPr>
          <w:i/>
          <w:iCs/>
          <w:noProof/>
        </w:rPr>
        <w:t>ACS Macro Lett</w:t>
      </w:r>
      <w:r w:rsidRPr="006F7E3E">
        <w:rPr>
          <w:noProof/>
        </w:rPr>
        <w:t xml:space="preserve">. </w:t>
      </w:r>
      <w:r w:rsidRPr="006F7E3E">
        <w:rPr>
          <w:b/>
          <w:bCs/>
          <w:noProof/>
        </w:rPr>
        <w:t>2018</w:t>
      </w:r>
      <w:r w:rsidRPr="006F7E3E">
        <w:rPr>
          <w:bCs/>
          <w:noProof/>
        </w:rPr>
        <w:t xml:space="preserve">, </w:t>
      </w:r>
      <w:r w:rsidRPr="006F7E3E">
        <w:rPr>
          <w:bCs/>
          <w:i/>
          <w:noProof/>
        </w:rPr>
        <w:t>7</w:t>
      </w:r>
      <w:r w:rsidRPr="006F7E3E">
        <w:rPr>
          <w:bCs/>
          <w:noProof/>
        </w:rPr>
        <w:t>, 1413–1419</w:t>
      </w:r>
      <w:r w:rsidRPr="006F7E3E">
        <w:rPr>
          <w:noProof/>
        </w:rPr>
        <w:t>.</w:t>
      </w:r>
    </w:p>
    <w:p w14:paraId="583DECF8" w14:textId="77777777" w:rsidR="00DD11A4" w:rsidRPr="006F7E3E" w:rsidRDefault="00DD11A4" w:rsidP="00DD11A4">
      <w:pPr>
        <w:pStyle w:val="MDPI71References"/>
        <w:numPr>
          <w:ilvl w:val="0"/>
          <w:numId w:val="3"/>
        </w:numPr>
        <w:adjustRightInd w:val="0"/>
        <w:snapToGrid w:val="0"/>
        <w:ind w:left="425" w:hanging="425"/>
      </w:pPr>
      <w:r w:rsidRPr="006F7E3E">
        <w:rPr>
          <w:noProof/>
        </w:rPr>
        <w:t xml:space="preserve">Lim, J.Y.C.; Yuntawattana, N.; Beer, P.D.; Williams, C.K. Isoselective Lactide Ring Opening Polymerisation using [2]Rotaxane Catalysts. </w:t>
      </w:r>
      <w:r w:rsidRPr="006F7E3E">
        <w:rPr>
          <w:i/>
          <w:iCs/>
          <w:noProof/>
        </w:rPr>
        <w:t>Angew. Chem. Int. Ed</w:t>
      </w:r>
      <w:r w:rsidRPr="006F7E3E">
        <w:rPr>
          <w:noProof/>
        </w:rPr>
        <w:t xml:space="preserve">. </w:t>
      </w:r>
      <w:r w:rsidRPr="006F7E3E">
        <w:rPr>
          <w:b/>
          <w:bCs/>
          <w:noProof/>
        </w:rPr>
        <w:t>2019</w:t>
      </w:r>
      <w:r w:rsidRPr="006F7E3E">
        <w:rPr>
          <w:bCs/>
          <w:noProof/>
        </w:rPr>
        <w:t xml:space="preserve">, </w:t>
      </w:r>
      <w:r w:rsidRPr="006F7E3E">
        <w:rPr>
          <w:bCs/>
          <w:i/>
          <w:noProof/>
        </w:rPr>
        <w:t>58</w:t>
      </w:r>
      <w:r w:rsidRPr="006F7E3E">
        <w:rPr>
          <w:bCs/>
          <w:noProof/>
        </w:rPr>
        <w:t>, 6007–6011</w:t>
      </w:r>
      <w:r w:rsidRPr="006F7E3E">
        <w:rPr>
          <w:noProof/>
        </w:rPr>
        <w:t>.</w:t>
      </w:r>
    </w:p>
    <w:p w14:paraId="5AB8C879" w14:textId="77777777" w:rsidR="00DD11A4" w:rsidRPr="006F7E3E" w:rsidRDefault="00DD11A4" w:rsidP="00DD11A4">
      <w:pPr>
        <w:pStyle w:val="MDPI71References"/>
        <w:numPr>
          <w:ilvl w:val="0"/>
          <w:numId w:val="3"/>
        </w:numPr>
        <w:adjustRightInd w:val="0"/>
        <w:snapToGrid w:val="0"/>
        <w:ind w:left="425" w:hanging="425"/>
      </w:pPr>
      <w:r w:rsidRPr="006F7E3E">
        <w:rPr>
          <w:noProof/>
        </w:rPr>
        <w:t xml:space="preserve">Lohmeijer, B.G.G.; Pratt, R.C.; Leibfarth, F.; Logan, J.W.; Long, D.A.; Dove, A.P.; Nederberg, F.; Choi, J.; Wade, C.; Waymouth, R.M.; et al. Guanidine and Amidine Organocatalysts for Ring-Opening Polymerization of Cyclic Esters. </w:t>
      </w:r>
      <w:r w:rsidRPr="006F7E3E">
        <w:rPr>
          <w:i/>
          <w:iCs/>
          <w:noProof/>
        </w:rPr>
        <w:t>Macromolecules</w:t>
      </w:r>
      <w:r w:rsidRPr="006F7E3E">
        <w:rPr>
          <w:noProof/>
        </w:rPr>
        <w:t xml:space="preserve"> </w:t>
      </w:r>
      <w:r w:rsidRPr="006F7E3E">
        <w:rPr>
          <w:b/>
          <w:bCs/>
          <w:noProof/>
        </w:rPr>
        <w:t>2006</w:t>
      </w:r>
      <w:r w:rsidRPr="006F7E3E">
        <w:rPr>
          <w:bCs/>
          <w:noProof/>
        </w:rPr>
        <w:t xml:space="preserve">, </w:t>
      </w:r>
      <w:r w:rsidRPr="006F7E3E">
        <w:rPr>
          <w:bCs/>
          <w:i/>
          <w:noProof/>
        </w:rPr>
        <w:t>39</w:t>
      </w:r>
      <w:r w:rsidRPr="006F7E3E">
        <w:rPr>
          <w:bCs/>
          <w:noProof/>
        </w:rPr>
        <w:t>, 8574–8583</w:t>
      </w:r>
      <w:r w:rsidRPr="006F7E3E">
        <w:rPr>
          <w:noProof/>
        </w:rPr>
        <w:t>.</w:t>
      </w:r>
    </w:p>
    <w:p w14:paraId="7DEFB6C0" w14:textId="77777777" w:rsidR="00DD11A4" w:rsidRPr="006F7E3E" w:rsidRDefault="00DD11A4" w:rsidP="00DD11A4">
      <w:pPr>
        <w:pStyle w:val="MDPI71References"/>
        <w:numPr>
          <w:ilvl w:val="0"/>
          <w:numId w:val="3"/>
        </w:numPr>
        <w:adjustRightInd w:val="0"/>
        <w:snapToGrid w:val="0"/>
        <w:ind w:left="425" w:hanging="425"/>
      </w:pPr>
      <w:r w:rsidRPr="006F7E3E">
        <w:rPr>
          <w:noProof/>
        </w:rPr>
        <w:t xml:space="preserve">Pratt, R.C.; Lohmeijer, B.G.G.; Long, D.A.; Waymouth, R.M.; Hedrick, J.L. Triazabicyclodecene: A Simple Bifunctional Organocatalyst for Acyl Transfer and Ring-Opening Polymerization of Cyclic Esters. </w:t>
      </w:r>
      <w:r w:rsidRPr="006F7E3E">
        <w:rPr>
          <w:i/>
          <w:iCs/>
          <w:noProof/>
        </w:rPr>
        <w:t>J. Am. Chem. Soc</w:t>
      </w:r>
      <w:r w:rsidRPr="006F7E3E">
        <w:rPr>
          <w:noProof/>
        </w:rPr>
        <w:t xml:space="preserve">. </w:t>
      </w:r>
      <w:r w:rsidRPr="006F7E3E">
        <w:rPr>
          <w:b/>
          <w:bCs/>
          <w:noProof/>
        </w:rPr>
        <w:t>2006</w:t>
      </w:r>
      <w:r w:rsidRPr="006F7E3E">
        <w:rPr>
          <w:bCs/>
          <w:noProof/>
        </w:rPr>
        <w:t xml:space="preserve">, </w:t>
      </w:r>
      <w:r w:rsidRPr="006F7E3E">
        <w:rPr>
          <w:bCs/>
          <w:i/>
          <w:noProof/>
        </w:rPr>
        <w:t>128</w:t>
      </w:r>
      <w:r w:rsidRPr="006F7E3E">
        <w:rPr>
          <w:bCs/>
          <w:noProof/>
        </w:rPr>
        <w:t>, 4556–4557</w:t>
      </w:r>
      <w:r w:rsidRPr="006F7E3E">
        <w:rPr>
          <w:noProof/>
        </w:rPr>
        <w:t>.</w:t>
      </w:r>
    </w:p>
    <w:p w14:paraId="7042DA0F" w14:textId="77777777" w:rsidR="00DD11A4" w:rsidRPr="006F7E3E" w:rsidRDefault="00DD11A4" w:rsidP="00DD11A4">
      <w:pPr>
        <w:pStyle w:val="MDPI71References"/>
        <w:numPr>
          <w:ilvl w:val="0"/>
          <w:numId w:val="3"/>
        </w:numPr>
        <w:adjustRightInd w:val="0"/>
        <w:snapToGrid w:val="0"/>
        <w:ind w:left="425" w:hanging="425"/>
      </w:pPr>
      <w:r w:rsidRPr="006F7E3E">
        <w:rPr>
          <w:noProof/>
        </w:rPr>
        <w:t xml:space="preserve">Baran, J.; Duda, A.; Kowalski, A.; Szymanski, R.; Penczek, S. Intermolecular chain transfer to polymer with chain scission: General treatment and determination of </w:t>
      </w:r>
      <w:r w:rsidRPr="006F7E3E">
        <w:rPr>
          <w:i/>
          <w:iCs/>
          <w:noProof/>
        </w:rPr>
        <w:t>k</w:t>
      </w:r>
      <w:r w:rsidRPr="006F7E3E">
        <w:rPr>
          <w:i/>
          <w:iCs/>
          <w:noProof/>
          <w:vertAlign w:val="subscript"/>
        </w:rPr>
        <w:t>p</w:t>
      </w:r>
      <w:r w:rsidRPr="006F7E3E">
        <w:rPr>
          <w:i/>
          <w:iCs/>
          <w:noProof/>
        </w:rPr>
        <w:t>/k</w:t>
      </w:r>
      <w:r w:rsidRPr="006F7E3E">
        <w:rPr>
          <w:i/>
          <w:iCs/>
          <w:noProof/>
          <w:vertAlign w:val="subscript"/>
        </w:rPr>
        <w:t>tr</w:t>
      </w:r>
      <w:r w:rsidRPr="006F7E3E">
        <w:rPr>
          <w:noProof/>
        </w:rPr>
        <w:t xml:space="preserve"> in L,L-lactide polymerization. </w:t>
      </w:r>
      <w:r w:rsidRPr="006F7E3E">
        <w:rPr>
          <w:i/>
          <w:iCs/>
          <w:noProof/>
        </w:rPr>
        <w:t>Macromol. Rapid Commun</w:t>
      </w:r>
      <w:r w:rsidRPr="006F7E3E">
        <w:rPr>
          <w:noProof/>
        </w:rPr>
        <w:t xml:space="preserve">. </w:t>
      </w:r>
      <w:r w:rsidRPr="006F7E3E">
        <w:rPr>
          <w:b/>
          <w:bCs/>
          <w:noProof/>
        </w:rPr>
        <w:t>1997</w:t>
      </w:r>
      <w:r w:rsidRPr="006F7E3E">
        <w:rPr>
          <w:bCs/>
          <w:noProof/>
        </w:rPr>
        <w:t xml:space="preserve">, </w:t>
      </w:r>
      <w:r w:rsidRPr="006F7E3E">
        <w:rPr>
          <w:bCs/>
          <w:i/>
          <w:noProof/>
        </w:rPr>
        <w:t>18</w:t>
      </w:r>
      <w:r w:rsidRPr="006F7E3E">
        <w:rPr>
          <w:bCs/>
          <w:noProof/>
        </w:rPr>
        <w:t>, 325–333</w:t>
      </w:r>
      <w:r w:rsidRPr="006F7E3E">
        <w:rPr>
          <w:noProof/>
        </w:rPr>
        <w:t>.</w:t>
      </w:r>
    </w:p>
    <w:p w14:paraId="4FB46A75" w14:textId="77777777" w:rsidR="00DD11A4" w:rsidRPr="006F7E3E" w:rsidRDefault="00DD11A4" w:rsidP="00DD11A4">
      <w:pPr>
        <w:pStyle w:val="MDPI71References"/>
        <w:numPr>
          <w:ilvl w:val="0"/>
          <w:numId w:val="3"/>
        </w:numPr>
        <w:adjustRightInd w:val="0"/>
        <w:snapToGrid w:val="0"/>
        <w:ind w:left="425" w:hanging="425"/>
      </w:pPr>
      <w:r w:rsidRPr="006F7E3E">
        <w:rPr>
          <w:noProof/>
        </w:rPr>
        <w:lastRenderedPageBreak/>
        <w:t xml:space="preserve">Chuma, A.; Horn, H.W.; Swope, W.C.; Pratt, R.C.; Zhang, L.; Lohmeijer, B.G.G.; Wade, C.G.; Waymouth, R.M.; Hedrick, J.L.; Rice, L.E. The Reaction Mechanism for the Organocatalytic Ring-Opening Polymerization of l-Lactide Using a Guanidine-Based Catalyst: Hydrogen-Bonded or Covalently Bound? </w:t>
      </w:r>
      <w:r w:rsidRPr="006F7E3E">
        <w:rPr>
          <w:i/>
          <w:iCs/>
          <w:noProof/>
        </w:rPr>
        <w:t>J. Am. Chem. Soc</w:t>
      </w:r>
      <w:r w:rsidRPr="006F7E3E">
        <w:rPr>
          <w:noProof/>
        </w:rPr>
        <w:t xml:space="preserve">. </w:t>
      </w:r>
      <w:r w:rsidRPr="006F7E3E">
        <w:rPr>
          <w:b/>
          <w:bCs/>
          <w:noProof/>
        </w:rPr>
        <w:t>2008</w:t>
      </w:r>
      <w:r w:rsidRPr="006F7E3E">
        <w:rPr>
          <w:bCs/>
          <w:noProof/>
        </w:rPr>
        <w:t xml:space="preserve">, </w:t>
      </w:r>
      <w:r w:rsidRPr="006F7E3E">
        <w:rPr>
          <w:bCs/>
          <w:i/>
          <w:noProof/>
        </w:rPr>
        <w:t>130</w:t>
      </w:r>
      <w:r w:rsidRPr="006F7E3E">
        <w:rPr>
          <w:bCs/>
          <w:noProof/>
        </w:rPr>
        <w:t>, 6749–6754</w:t>
      </w:r>
      <w:r w:rsidRPr="006F7E3E">
        <w:rPr>
          <w:noProof/>
        </w:rPr>
        <w:t>.</w:t>
      </w:r>
    </w:p>
    <w:p w14:paraId="5764F1D4" w14:textId="77777777" w:rsidR="00DD11A4" w:rsidRPr="006F7E3E" w:rsidRDefault="00DD11A4" w:rsidP="00DD11A4">
      <w:pPr>
        <w:pStyle w:val="MDPI71References"/>
        <w:numPr>
          <w:ilvl w:val="0"/>
          <w:numId w:val="3"/>
        </w:numPr>
        <w:adjustRightInd w:val="0"/>
        <w:snapToGrid w:val="0"/>
        <w:ind w:left="425" w:hanging="425"/>
      </w:pPr>
      <w:r w:rsidRPr="006F7E3E">
        <w:rPr>
          <w:noProof/>
        </w:rPr>
        <w:t xml:space="preserve">Simon, L.; Goodman, J.M. The Mechanism of TBD-Catalyzed Ring-Opening Polymerization of Cyclic Esters. </w:t>
      </w:r>
      <w:r w:rsidRPr="006F7E3E">
        <w:rPr>
          <w:i/>
          <w:iCs/>
          <w:noProof/>
          <w:lang w:val="pl-PL"/>
        </w:rPr>
        <w:t xml:space="preserve">J. Org. Chem. </w:t>
      </w:r>
      <w:r w:rsidRPr="006F7E3E">
        <w:rPr>
          <w:b/>
          <w:bCs/>
          <w:noProof/>
          <w:lang w:val="pl-PL"/>
        </w:rPr>
        <w:t>2007</w:t>
      </w:r>
      <w:r w:rsidRPr="006F7E3E">
        <w:rPr>
          <w:bCs/>
          <w:noProof/>
          <w:lang w:val="pl-PL"/>
        </w:rPr>
        <w:t xml:space="preserve">, </w:t>
      </w:r>
      <w:r w:rsidRPr="006F7E3E">
        <w:rPr>
          <w:bCs/>
          <w:i/>
          <w:noProof/>
          <w:lang w:val="pl-PL"/>
        </w:rPr>
        <w:t>72</w:t>
      </w:r>
      <w:r w:rsidRPr="006F7E3E">
        <w:rPr>
          <w:bCs/>
          <w:noProof/>
          <w:lang w:val="pl-PL"/>
        </w:rPr>
        <w:t>, 9656–9662</w:t>
      </w:r>
      <w:r w:rsidRPr="006F7E3E">
        <w:rPr>
          <w:noProof/>
          <w:lang w:val="pl-PL"/>
        </w:rPr>
        <w:t>.</w:t>
      </w:r>
    </w:p>
    <w:p w14:paraId="569E3E5C" w14:textId="77777777" w:rsidR="00DD11A4" w:rsidRPr="006F7E3E" w:rsidRDefault="00DD11A4" w:rsidP="00DD11A4">
      <w:pPr>
        <w:pStyle w:val="MDPI71References"/>
        <w:numPr>
          <w:ilvl w:val="0"/>
          <w:numId w:val="3"/>
        </w:numPr>
        <w:adjustRightInd w:val="0"/>
        <w:snapToGrid w:val="0"/>
        <w:ind w:left="425" w:hanging="425"/>
      </w:pPr>
      <w:proofErr w:type="spellStart"/>
      <w:r w:rsidRPr="006F7E3E">
        <w:t>Nifant’ev</w:t>
      </w:r>
      <w:proofErr w:type="spellEnd"/>
      <w:r w:rsidRPr="006F7E3E">
        <w:t xml:space="preserve">, I.; </w:t>
      </w:r>
      <w:proofErr w:type="spellStart"/>
      <w:r w:rsidRPr="006F7E3E">
        <w:t>Ivchenko</w:t>
      </w:r>
      <w:proofErr w:type="spellEnd"/>
      <w:r w:rsidRPr="006F7E3E">
        <w:t xml:space="preserve">, P. </w:t>
      </w:r>
      <w:r w:rsidRPr="006F7E3E">
        <w:rPr>
          <w:lang w:val="en"/>
        </w:rPr>
        <w:t xml:space="preserve">DFT Modeling of Organocatalytic Ring-Opening Polymerization of Cyclic Esters: A Crucial Role of Proton Exchange and Hydrogen Bonding. </w:t>
      </w:r>
      <w:r w:rsidRPr="006F7E3E">
        <w:rPr>
          <w:i/>
          <w:iCs/>
          <w:lang w:val="en"/>
        </w:rPr>
        <w:t>Polymers</w:t>
      </w:r>
      <w:r w:rsidRPr="006F7E3E">
        <w:rPr>
          <w:lang w:val="en"/>
        </w:rPr>
        <w:t xml:space="preserve"> </w:t>
      </w:r>
      <w:r w:rsidRPr="006F7E3E">
        <w:rPr>
          <w:b/>
          <w:bCs/>
          <w:lang w:val="en"/>
        </w:rPr>
        <w:t>2019</w:t>
      </w:r>
      <w:r w:rsidRPr="006F7E3E">
        <w:rPr>
          <w:bCs/>
          <w:lang w:val="en"/>
        </w:rPr>
        <w:t xml:space="preserve">, </w:t>
      </w:r>
      <w:r w:rsidRPr="006F7E3E">
        <w:rPr>
          <w:bCs/>
          <w:i/>
          <w:lang w:val="en"/>
        </w:rPr>
        <w:t>11</w:t>
      </w:r>
      <w:r w:rsidRPr="006F7E3E">
        <w:rPr>
          <w:bCs/>
          <w:lang w:val="en"/>
        </w:rPr>
        <w:t>, 2078–2127</w:t>
      </w:r>
      <w:r w:rsidRPr="006F7E3E">
        <w:rPr>
          <w:lang w:val="en"/>
        </w:rPr>
        <w:t>.</w:t>
      </w:r>
    </w:p>
    <w:tbl>
      <w:tblPr>
        <w:tblW w:w="0" w:type="auto"/>
        <w:jc w:val="center"/>
        <w:tblLook w:val="04A0" w:firstRow="1" w:lastRow="0" w:firstColumn="1" w:lastColumn="0" w:noHBand="0" w:noVBand="1"/>
      </w:tblPr>
      <w:tblGrid>
        <w:gridCol w:w="1706"/>
        <w:gridCol w:w="7138"/>
      </w:tblGrid>
      <w:tr w:rsidR="00DD11A4" w:rsidRPr="00A9339D" w14:paraId="31A990F6" w14:textId="77777777" w:rsidTr="00595DF4">
        <w:trPr>
          <w:jc w:val="center"/>
        </w:trPr>
        <w:tc>
          <w:tcPr>
            <w:tcW w:w="0" w:type="auto"/>
            <w:shd w:val="clear" w:color="auto" w:fill="auto"/>
            <w:vAlign w:val="center"/>
          </w:tcPr>
          <w:p w14:paraId="0FCB424A" w14:textId="77777777" w:rsidR="00DD11A4" w:rsidRPr="006F7E3E" w:rsidRDefault="00DD11A4" w:rsidP="00595DF4">
            <w:pPr>
              <w:pStyle w:val="MDPI71References"/>
              <w:numPr>
                <w:ilvl w:val="0"/>
                <w:numId w:val="0"/>
              </w:numPr>
              <w:ind w:left="-85"/>
              <w:rPr>
                <w:rFonts w:eastAsia="SimSun"/>
                <w:bCs/>
              </w:rPr>
            </w:pPr>
            <w:r w:rsidRPr="006F7E3E">
              <w:rPr>
                <w:rFonts w:eastAsia="SimSun"/>
                <w:bCs/>
                <w:noProof/>
                <w:lang w:eastAsia="zh-CN" w:bidi="ar-SA"/>
              </w:rPr>
              <w:drawing>
                <wp:inline distT="0" distB="0" distL="0" distR="0" wp14:anchorId="7A83F0A3" wp14:editId="32B3A6C9">
                  <wp:extent cx="1000125" cy="361950"/>
                  <wp:effectExtent l="0" t="0" r="0" b="0"/>
                  <wp:docPr id="2"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0125" cy="361950"/>
                          </a:xfrm>
                          <a:prstGeom prst="rect">
                            <a:avLst/>
                          </a:prstGeom>
                          <a:noFill/>
                          <a:ln>
                            <a:noFill/>
                          </a:ln>
                        </pic:spPr>
                      </pic:pic>
                    </a:graphicData>
                  </a:graphic>
                </wp:inline>
              </w:drawing>
            </w:r>
          </w:p>
        </w:tc>
        <w:tc>
          <w:tcPr>
            <w:tcW w:w="7149" w:type="dxa"/>
            <w:shd w:val="clear" w:color="auto" w:fill="auto"/>
            <w:vAlign w:val="center"/>
          </w:tcPr>
          <w:p w14:paraId="03BAD5D2" w14:textId="77777777" w:rsidR="00DD11A4" w:rsidRPr="00A9339D" w:rsidRDefault="00DD11A4" w:rsidP="00595DF4">
            <w:pPr>
              <w:pStyle w:val="MDPI71References"/>
              <w:numPr>
                <w:ilvl w:val="0"/>
                <w:numId w:val="0"/>
              </w:numPr>
              <w:ind w:left="-85"/>
              <w:rPr>
                <w:rFonts w:eastAsia="SimSun"/>
                <w:bCs/>
              </w:rPr>
            </w:pPr>
            <w:r w:rsidRPr="006F7E3E">
              <w:rPr>
                <w:rFonts w:eastAsia="SimSun"/>
                <w:bCs/>
              </w:rPr>
              <w:t>© 2020 by the authors. Submitted for possible open access publication under the terms and conditions of the Creative Commons Attribution (CC BY) license (http://creativecommons.org/licenses/by/4.0/).</w:t>
            </w:r>
          </w:p>
        </w:tc>
      </w:tr>
    </w:tbl>
    <w:p w14:paraId="512B05A2" w14:textId="77777777" w:rsidR="00DD11A4" w:rsidRPr="007F64DA" w:rsidRDefault="00DD11A4" w:rsidP="00DD11A4">
      <w:pPr>
        <w:pStyle w:val="MDPI71References"/>
        <w:numPr>
          <w:ilvl w:val="0"/>
          <w:numId w:val="0"/>
        </w:numPr>
        <w:spacing w:after="240"/>
        <w:rPr>
          <w:rFonts w:eastAsia="SimSun"/>
        </w:rPr>
      </w:pPr>
    </w:p>
    <w:p w14:paraId="1AD23B7C" w14:textId="77777777" w:rsidR="00807E37" w:rsidRPr="003F6CE1" w:rsidRDefault="00807E37" w:rsidP="003F6CE1">
      <w:pPr>
        <w:pStyle w:val="MDPI71References"/>
        <w:numPr>
          <w:ilvl w:val="0"/>
          <w:numId w:val="0"/>
        </w:numPr>
        <w:adjustRightInd w:val="0"/>
        <w:snapToGrid w:val="0"/>
        <w:spacing w:after="240"/>
        <w:rPr>
          <w:rFonts w:eastAsia="SimSun"/>
        </w:rPr>
      </w:pPr>
    </w:p>
    <w:sectPr w:rsidR="00807E37" w:rsidRPr="003F6CE1" w:rsidSect="003F6CE1">
      <w:headerReference w:type="even" r:id="rId14"/>
      <w:headerReference w:type="default" r:id="rId15"/>
      <w:footerReference w:type="default" r:id="rId16"/>
      <w:headerReference w:type="first" r:id="rId17"/>
      <w:footerReference w:type="first" r:id="rId18"/>
      <w:type w:val="continuous"/>
      <w:pgSz w:w="11906" w:h="16838" w:code="9"/>
      <w:pgMar w:top="1417" w:right="1531" w:bottom="1077" w:left="1531" w:header="1020" w:footer="850" w:gutter="0"/>
      <w:pgNumType w:start="1"/>
      <w:cols w:space="425"/>
      <w:titlePg/>
      <w:docGrid w:type="lines"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1" w:author="MDPI" w:date="2020-05-31T16:02:00Z" w:initials="M">
    <w:p w14:paraId="42382D30" w14:textId="71C1CE78" w:rsidR="00E93E70" w:rsidRDefault="00E93E70">
      <w:pPr>
        <w:pStyle w:val="Commentaire"/>
      </w:pPr>
      <w:r>
        <w:fldChar w:fldCharType="begin"/>
      </w:r>
      <w:r>
        <w:rPr>
          <w:rStyle w:val="Marquedecommentaire"/>
        </w:rPr>
        <w:instrText xml:space="preserve"> </w:instrText>
      </w:r>
      <w:r>
        <w:instrText>PAGE \# "'Page: '#'</w:instrText>
      </w:r>
      <w:r>
        <w:br/>
        <w:instrText>'"</w:instrText>
      </w:r>
      <w:r>
        <w:rPr>
          <w:rStyle w:val="Marquedecommentaire"/>
        </w:rPr>
        <w:instrText xml:space="preserve"> </w:instrText>
      </w:r>
      <w:r>
        <w:fldChar w:fldCharType="end"/>
      </w:r>
      <w:r>
        <w:rPr>
          <w:rStyle w:val="Marquedecommentaire"/>
        </w:rPr>
        <w:annotationRef/>
      </w:r>
      <w:r>
        <w:t xml:space="preserve">Please carefully check the accuracy of names and affiliations. </w:t>
      </w:r>
    </w:p>
  </w:comment>
  <w:comment w:id="2" w:author="MDPI" w:date="2020-05-31T16:35:00Z" w:initials="M">
    <w:p w14:paraId="12A5358B" w14:textId="7A83C86B" w:rsidR="00431D4C" w:rsidRDefault="00431D4C">
      <w:pPr>
        <w:pStyle w:val="Commentaire"/>
      </w:pPr>
      <w:r>
        <w:fldChar w:fldCharType="begin"/>
      </w:r>
      <w:r>
        <w:rPr>
          <w:rStyle w:val="Marquedecommentaire"/>
        </w:rPr>
        <w:instrText xml:space="preserve"> </w:instrText>
      </w:r>
      <w:r>
        <w:instrText>PAGE \# "'Page: '#'</w:instrText>
      </w:r>
      <w:r>
        <w:br/>
        <w:instrText>'"</w:instrText>
      </w:r>
      <w:r>
        <w:rPr>
          <w:rStyle w:val="Marquedecommentaire"/>
        </w:rPr>
        <w:instrText xml:space="preserve"> </w:instrText>
      </w:r>
      <w:r>
        <w:fldChar w:fldCharType="end"/>
      </w:r>
      <w:r>
        <w:rPr>
          <w:rStyle w:val="Marquedecommentaire"/>
        </w:rPr>
        <w:annotationRef/>
      </w:r>
      <w:r>
        <w:t xml:space="preserve">This email is different from </w:t>
      </w:r>
      <w:r w:rsidR="00F4503C">
        <w:t>system&lt;</w:t>
      </w:r>
      <w:r w:rsidR="00F4503C" w:rsidRPr="00F4503C">
        <w:t xml:space="preserve"> </w:t>
      </w:r>
      <w:hyperlink r:id="rId1" w:history="1">
        <w:r w:rsidR="00F4503C" w:rsidRPr="00F4503C">
          <w:rPr>
            <w:color w:val="0000FF"/>
            <w:sz w:val="24"/>
            <w:u w:val="single"/>
          </w:rPr>
          <w:t>Olivier.coulembier@umons.ac.be</w:t>
        </w:r>
      </w:hyperlink>
      <w:r w:rsidR="00F4503C">
        <w:t>&gt;</w:t>
      </w:r>
      <w:r>
        <w:t>. Please confirm.</w:t>
      </w:r>
    </w:p>
  </w:comment>
  <w:comment w:id="3" w:author="MDPI" w:date="2020-06-02T09:34:00Z" w:initials="M">
    <w:p w14:paraId="3801D350" w14:textId="77777777" w:rsidR="00AF6500" w:rsidRDefault="00AF6500" w:rsidP="00AF6500">
      <w:pPr>
        <w:pStyle w:val="Commentaire"/>
      </w:pPr>
      <w:r>
        <w:rPr>
          <w:rStyle w:val="Marquedecommentaire"/>
        </w:rPr>
        <w:annotationRef/>
      </w:r>
      <w:r>
        <w:t xml:space="preserve">Is it the </w:t>
      </w:r>
      <w:r>
        <w:rPr>
          <w:rStyle w:val="tlid-translation"/>
          <w:lang w:val="en"/>
        </w:rPr>
        <w:t>Italic</w:t>
      </w:r>
      <w:r>
        <w:t xml:space="preserve"> necessary? If not, please delete it. Please check all the </w:t>
      </w:r>
      <w:r>
        <w:rPr>
          <w:rStyle w:val="tlid-translation"/>
          <w:lang w:val="en"/>
        </w:rPr>
        <w:t>Italic in the main text.</w:t>
      </w:r>
    </w:p>
    <w:p w14:paraId="578FC804" w14:textId="443D7098" w:rsidR="00AF6500" w:rsidRDefault="00AF6500">
      <w:pPr>
        <w:pStyle w:val="Commentaire"/>
      </w:pPr>
    </w:p>
  </w:comment>
  <w:comment w:id="4" w:author="MDPI" w:date="2020-05-31T16:22:00Z" w:initials="M">
    <w:p w14:paraId="3DC52214" w14:textId="4AE94F69" w:rsidR="00E83036" w:rsidRDefault="00E83036">
      <w:pPr>
        <w:pStyle w:val="Commentaire"/>
      </w:pPr>
      <w:r>
        <w:t>Newly changed it to italic, please confirm.</w:t>
      </w:r>
      <w:r>
        <w:fldChar w:fldCharType="begin"/>
      </w:r>
      <w:r>
        <w:rPr>
          <w:rStyle w:val="Marquedecommentaire"/>
        </w:rPr>
        <w:instrText xml:space="preserve"> </w:instrText>
      </w:r>
      <w:r>
        <w:instrText>PAGE \# "'Page: '#'</w:instrText>
      </w:r>
      <w:r>
        <w:br/>
        <w:instrText>'"</w:instrText>
      </w:r>
      <w:r>
        <w:rPr>
          <w:rStyle w:val="Marquedecommentaire"/>
        </w:rPr>
        <w:instrText xml:space="preserve"> </w:instrText>
      </w:r>
      <w:r>
        <w:fldChar w:fldCharType="end"/>
      </w:r>
      <w:r>
        <w:rPr>
          <w:rStyle w:val="Marquedecommentaire"/>
        </w:rPr>
        <w:annotationRef/>
      </w:r>
    </w:p>
  </w:comment>
  <w:comment w:id="8" w:author="MDPI" w:date="2020-05-31T16:25:00Z" w:initials="M">
    <w:p w14:paraId="31C3DF6B" w14:textId="135E9BF2" w:rsidR="0064400C" w:rsidRDefault="0064400C">
      <w:pPr>
        <w:pStyle w:val="Commentaire"/>
      </w:pPr>
      <w:r>
        <w:fldChar w:fldCharType="begin"/>
      </w:r>
      <w:r>
        <w:rPr>
          <w:rStyle w:val="Marquedecommentaire"/>
        </w:rPr>
        <w:instrText xml:space="preserve"> </w:instrText>
      </w:r>
      <w:r>
        <w:instrText>PAGE \# "'Page: '#'</w:instrText>
      </w:r>
      <w:r>
        <w:br/>
        <w:instrText>'"</w:instrText>
      </w:r>
      <w:r>
        <w:rPr>
          <w:rStyle w:val="Marquedecommentaire"/>
        </w:rPr>
        <w:instrText xml:space="preserve"> </w:instrText>
      </w:r>
      <w:r>
        <w:fldChar w:fldCharType="end"/>
      </w:r>
      <w:r>
        <w:rPr>
          <w:rStyle w:val="Marquedecommentaire"/>
        </w:rPr>
        <w:annotationRef/>
      </w:r>
      <w:r>
        <w:t>Newly changed it to italic, please confirm.</w:t>
      </w:r>
      <w:r>
        <w:fldChar w:fldCharType="begin"/>
      </w:r>
      <w:r>
        <w:rPr>
          <w:rStyle w:val="Marquedecommentaire"/>
        </w:rPr>
        <w:instrText xml:space="preserve"> </w:instrText>
      </w:r>
      <w:r>
        <w:instrText>PAGE \# "'Page: '#'</w:instrText>
      </w:r>
      <w:r>
        <w:br/>
        <w:instrText>'"</w:instrText>
      </w:r>
      <w:r>
        <w:rPr>
          <w:rStyle w:val="Marquedecommentaire"/>
        </w:rPr>
        <w:instrText xml:space="preserve"> </w:instrText>
      </w:r>
      <w:r>
        <w:fldChar w:fldCharType="end"/>
      </w:r>
      <w:r>
        <w:rPr>
          <w:rStyle w:val="Marquedecommentaire"/>
        </w:rPr>
        <w:annotationRef/>
      </w:r>
    </w:p>
  </w:comment>
  <w:comment w:id="9" w:author="MDPI" w:date="2020-05-31T16:25:00Z" w:initials="M">
    <w:p w14:paraId="2F914890" w14:textId="53E2F744" w:rsidR="0064400C" w:rsidRDefault="0064400C">
      <w:pPr>
        <w:pStyle w:val="Commentaire"/>
      </w:pPr>
      <w:r>
        <w:fldChar w:fldCharType="begin"/>
      </w:r>
      <w:r>
        <w:rPr>
          <w:rStyle w:val="Marquedecommentaire"/>
        </w:rPr>
        <w:instrText xml:space="preserve"> </w:instrText>
      </w:r>
      <w:r>
        <w:instrText>PAGE \# "'Page: '#'</w:instrText>
      </w:r>
      <w:r>
        <w:br/>
        <w:instrText>'"</w:instrText>
      </w:r>
      <w:r>
        <w:rPr>
          <w:rStyle w:val="Marquedecommentaire"/>
        </w:rPr>
        <w:instrText xml:space="preserve"> </w:instrText>
      </w:r>
      <w:r>
        <w:fldChar w:fldCharType="end"/>
      </w:r>
      <w:r>
        <w:rPr>
          <w:rStyle w:val="Marquedecommentaire"/>
        </w:rPr>
        <w:annotationRef/>
      </w:r>
      <w:r>
        <w:fldChar w:fldCharType="begin"/>
      </w:r>
      <w:r>
        <w:rPr>
          <w:rStyle w:val="Marquedecommentaire"/>
        </w:rPr>
        <w:instrText xml:space="preserve"> </w:instrText>
      </w:r>
      <w:r>
        <w:instrText>PAGE \# "'Page: '#'</w:instrText>
      </w:r>
      <w:r>
        <w:br/>
        <w:instrText>'"</w:instrText>
      </w:r>
      <w:r>
        <w:rPr>
          <w:rStyle w:val="Marquedecommentaire"/>
        </w:rPr>
        <w:instrText xml:space="preserve"> </w:instrText>
      </w:r>
      <w:r>
        <w:fldChar w:fldCharType="end"/>
      </w:r>
      <w:r>
        <w:rPr>
          <w:rStyle w:val="Marquedecommentaire"/>
        </w:rPr>
        <w:annotationRef/>
      </w:r>
      <w:r>
        <w:t>Newly changed it to italic, please confirm.</w:t>
      </w:r>
    </w:p>
  </w:comment>
  <w:comment w:id="10" w:author="MDPI" w:date="2020-05-31T16:25:00Z" w:initials="M">
    <w:p w14:paraId="4534BD9A" w14:textId="66C42245" w:rsidR="0064400C" w:rsidRDefault="0064400C">
      <w:pPr>
        <w:pStyle w:val="Commentaire"/>
      </w:pPr>
      <w:r>
        <w:fldChar w:fldCharType="begin"/>
      </w:r>
      <w:r>
        <w:rPr>
          <w:rStyle w:val="Marquedecommentaire"/>
        </w:rPr>
        <w:instrText xml:space="preserve"> </w:instrText>
      </w:r>
      <w:r>
        <w:instrText>PAGE \# "'Page: '#'</w:instrText>
      </w:r>
      <w:r>
        <w:br/>
        <w:instrText>'"</w:instrText>
      </w:r>
      <w:r>
        <w:rPr>
          <w:rStyle w:val="Marquedecommentaire"/>
        </w:rPr>
        <w:instrText xml:space="preserve"> </w:instrText>
      </w:r>
      <w:r>
        <w:fldChar w:fldCharType="end"/>
      </w:r>
      <w:r>
        <w:rPr>
          <w:rStyle w:val="Marquedecommentaire"/>
        </w:rPr>
        <w:annotationRef/>
      </w:r>
      <w:r>
        <w:fldChar w:fldCharType="begin"/>
      </w:r>
      <w:r>
        <w:rPr>
          <w:rStyle w:val="Marquedecommentaire"/>
        </w:rPr>
        <w:instrText xml:space="preserve"> </w:instrText>
      </w:r>
      <w:r>
        <w:instrText>PAGE \# "'Page: '#'</w:instrText>
      </w:r>
      <w:r>
        <w:br/>
        <w:instrText>'"</w:instrText>
      </w:r>
      <w:r>
        <w:rPr>
          <w:rStyle w:val="Marquedecommentaire"/>
        </w:rPr>
        <w:instrText xml:space="preserve"> </w:instrText>
      </w:r>
      <w:r>
        <w:fldChar w:fldCharType="end"/>
      </w:r>
      <w:r>
        <w:rPr>
          <w:rStyle w:val="Marquedecommentaire"/>
        </w:rPr>
        <w:annotationRef/>
      </w:r>
      <w:r>
        <w:t>Newly changed it to italic, please confirm.</w:t>
      </w:r>
    </w:p>
  </w:comment>
  <w:comment w:id="11" w:author="MDPI" w:date="2020-05-31T16:21:00Z" w:initials="M">
    <w:p w14:paraId="4659513F" w14:textId="77777777" w:rsidR="00B42BA3" w:rsidRDefault="00B42BA3" w:rsidP="00B42BA3">
      <w:pPr>
        <w:pStyle w:val="Commentaire"/>
      </w:pPr>
      <w:r>
        <w:fldChar w:fldCharType="begin"/>
      </w:r>
      <w:r>
        <w:rPr>
          <w:rStyle w:val="Marquedecommentaire"/>
        </w:rPr>
        <w:instrText xml:space="preserve"> </w:instrText>
      </w:r>
      <w:r>
        <w:instrText>PAGE \# "'Page: '#'</w:instrText>
      </w:r>
      <w:r>
        <w:br/>
        <w:instrText>'"</w:instrText>
      </w:r>
      <w:r>
        <w:rPr>
          <w:rStyle w:val="Marquedecommentaire"/>
        </w:rPr>
        <w:instrText xml:space="preserve"> </w:instrText>
      </w:r>
      <w:r>
        <w:fldChar w:fldCharType="end"/>
      </w:r>
      <w:r>
        <w:rPr>
          <w:rStyle w:val="Marquedecommentaire"/>
        </w:rPr>
        <w:annotationRef/>
      </w:r>
      <w:r>
        <w:t>Newly changed it to italic, please confirm.</w:t>
      </w:r>
    </w:p>
  </w:comment>
  <w:comment w:id="12" w:author="Derek McPhee" w:date="2020-06-01T10:00:00Z" w:initials="DM">
    <w:p w14:paraId="52A906E3" w14:textId="776BC930" w:rsidR="008B600E" w:rsidRDefault="008B600E">
      <w:pPr>
        <w:pStyle w:val="Commentaire"/>
      </w:pPr>
      <w:r>
        <w:rPr>
          <w:rStyle w:val="Marquedecommentaire"/>
        </w:rPr>
        <w:annotationRef/>
      </w:r>
      <w:r>
        <w:t>Define.</w:t>
      </w:r>
    </w:p>
  </w:comment>
  <w:comment w:id="13" w:author="MDPI" w:date="2020-05-31T16:26:00Z" w:initials="M">
    <w:p w14:paraId="4CCE7583" w14:textId="6FBF8858" w:rsidR="0064400C" w:rsidRDefault="0064400C">
      <w:pPr>
        <w:pStyle w:val="Commentaire"/>
      </w:pPr>
      <w:r>
        <w:fldChar w:fldCharType="begin"/>
      </w:r>
      <w:r>
        <w:rPr>
          <w:rStyle w:val="Marquedecommentaire"/>
        </w:rPr>
        <w:instrText xml:space="preserve"> </w:instrText>
      </w:r>
      <w:r>
        <w:instrText>PAGE \# "'Page: '#'</w:instrText>
      </w:r>
      <w:r>
        <w:br/>
        <w:instrText>'"</w:instrText>
      </w:r>
      <w:r>
        <w:rPr>
          <w:rStyle w:val="Marquedecommentaire"/>
        </w:rPr>
        <w:instrText xml:space="preserve"> </w:instrText>
      </w:r>
      <w:r>
        <w:fldChar w:fldCharType="end"/>
      </w:r>
      <w:r>
        <w:rPr>
          <w:rStyle w:val="Marquedecommentaire"/>
        </w:rPr>
        <w:annotationRef/>
      </w:r>
      <w:r>
        <w:t>Newly changed information, please confirm.</w:t>
      </w:r>
    </w:p>
  </w:comment>
  <w:comment w:id="14" w:author="MDPI" w:date="2020-06-02T09:37:00Z" w:initials="M">
    <w:p w14:paraId="02736AAD" w14:textId="77777777" w:rsidR="00AF6500" w:rsidRPr="00E8665F" w:rsidRDefault="00AF6500" w:rsidP="00AF6500">
      <w:pPr>
        <w:pStyle w:val="Commentaire"/>
        <w:rPr>
          <w:rStyle w:val="tlid-translation"/>
          <w:rFonts w:asciiTheme="minorEastAsia" w:hAnsiTheme="minorEastAsia"/>
          <w:lang w:val="en"/>
        </w:rPr>
      </w:pPr>
      <w:r>
        <w:rPr>
          <w:rStyle w:val="Marquedecommentaire"/>
        </w:rPr>
        <w:annotationRef/>
      </w:r>
      <w:r w:rsidRPr="00E8665F">
        <w:rPr>
          <w:rStyle w:val="tlid-translation"/>
          <w:rFonts w:asciiTheme="minorEastAsia" w:hAnsiTheme="minorEastAsia"/>
          <w:lang w:val="en"/>
        </w:rPr>
        <w:t xml:space="preserve">Please provide Company, City, State Abbr., Country for ALL reagents and instruments in this paper. </w:t>
      </w:r>
    </w:p>
    <w:p w14:paraId="20D01656" w14:textId="77777777" w:rsidR="00AF6500" w:rsidRPr="00E8665F" w:rsidRDefault="00AF6500" w:rsidP="00AF6500">
      <w:pPr>
        <w:pStyle w:val="Commentaire"/>
        <w:rPr>
          <w:rStyle w:val="tlid-translation"/>
          <w:rFonts w:asciiTheme="minorEastAsia" w:hAnsiTheme="minorEastAsia"/>
          <w:lang w:val="en"/>
        </w:rPr>
      </w:pPr>
      <w:r w:rsidRPr="00E8665F">
        <w:rPr>
          <w:rStyle w:val="tlid-translation"/>
          <w:rFonts w:asciiTheme="minorEastAsia" w:hAnsiTheme="minorEastAsia"/>
          <w:lang w:val="en"/>
        </w:rPr>
        <w:t>And provide Version, Company, City, State Abbr., Country, Year for all software in this paper. Other similar highlights are the same.</w:t>
      </w:r>
    </w:p>
    <w:p w14:paraId="69F5B084" w14:textId="77777777" w:rsidR="00AF6500" w:rsidRPr="00E8665F" w:rsidRDefault="00AF6500" w:rsidP="00AF6500">
      <w:pPr>
        <w:pStyle w:val="Commentaire"/>
        <w:rPr>
          <w:rStyle w:val="tlid-translation"/>
          <w:rFonts w:asciiTheme="minorEastAsia" w:hAnsiTheme="minorEastAsia"/>
          <w:lang w:val="en"/>
        </w:rPr>
      </w:pPr>
    </w:p>
    <w:p w14:paraId="1181AF8B" w14:textId="77777777" w:rsidR="00AF6500" w:rsidRPr="00E8665F" w:rsidRDefault="00AF6500" w:rsidP="00AF6500">
      <w:pPr>
        <w:pStyle w:val="Commentaire"/>
        <w:rPr>
          <w:rStyle w:val="tlid-translation"/>
          <w:rFonts w:asciiTheme="minorEastAsia" w:hAnsiTheme="minorEastAsia"/>
          <w:lang w:val="en"/>
        </w:rPr>
      </w:pPr>
      <w:r w:rsidRPr="00E8665F">
        <w:rPr>
          <w:rStyle w:val="tlid-translation"/>
          <w:rFonts w:asciiTheme="minorEastAsia" w:hAnsiTheme="minorEastAsia"/>
          <w:lang w:val="en"/>
        </w:rPr>
        <w:t>e.g.</w:t>
      </w:r>
    </w:p>
    <w:p w14:paraId="37381714" w14:textId="77777777" w:rsidR="00AF6500" w:rsidRPr="00E8665F" w:rsidRDefault="00AF6500" w:rsidP="00AF6500">
      <w:pPr>
        <w:pStyle w:val="Commentaire"/>
        <w:rPr>
          <w:rStyle w:val="tlid-translation"/>
          <w:rFonts w:asciiTheme="minorEastAsia" w:hAnsiTheme="minorEastAsia"/>
          <w:lang w:val="en"/>
        </w:rPr>
      </w:pPr>
      <w:r w:rsidRPr="00E8665F">
        <w:rPr>
          <w:rStyle w:val="tlid-translation"/>
          <w:rFonts w:asciiTheme="minorEastAsia" w:hAnsiTheme="minorEastAsia"/>
          <w:lang w:val="en"/>
        </w:rPr>
        <w:t>(Sigma-Aldrich, St. Louis, MO, USA)</w:t>
      </w:r>
    </w:p>
    <w:p w14:paraId="7DDA1ADA" w14:textId="77777777" w:rsidR="00AF6500" w:rsidRPr="00E8665F" w:rsidRDefault="00AF6500" w:rsidP="00AF6500">
      <w:pPr>
        <w:pStyle w:val="Commentaire"/>
        <w:rPr>
          <w:rStyle w:val="tlid-translation"/>
          <w:rFonts w:asciiTheme="minorEastAsia" w:hAnsiTheme="minorEastAsia"/>
          <w:lang w:val="en"/>
        </w:rPr>
      </w:pPr>
      <w:r w:rsidRPr="00E8665F">
        <w:rPr>
          <w:rStyle w:val="tlid-translation"/>
          <w:rFonts w:asciiTheme="minorEastAsia" w:hAnsiTheme="minorEastAsia"/>
          <w:lang w:val="en"/>
        </w:rPr>
        <w:t xml:space="preserve">(99.5%, Alfa </w:t>
      </w:r>
      <w:proofErr w:type="spellStart"/>
      <w:r w:rsidRPr="00E8665F">
        <w:rPr>
          <w:rStyle w:val="tlid-translation"/>
          <w:rFonts w:asciiTheme="minorEastAsia" w:hAnsiTheme="minorEastAsia"/>
          <w:lang w:val="en"/>
        </w:rPr>
        <w:t>Aesar</w:t>
      </w:r>
      <w:proofErr w:type="spellEnd"/>
      <w:r w:rsidRPr="00E8665F">
        <w:rPr>
          <w:rStyle w:val="tlid-translation"/>
          <w:rFonts w:asciiTheme="minorEastAsia" w:hAnsiTheme="minorEastAsia"/>
          <w:lang w:val="en"/>
        </w:rPr>
        <w:t>, Haverhill, MA, USA)</w:t>
      </w:r>
    </w:p>
    <w:p w14:paraId="33450D10" w14:textId="77777777" w:rsidR="00AF6500" w:rsidRPr="00237C3E" w:rsidRDefault="00AF6500" w:rsidP="00AF6500">
      <w:pPr>
        <w:pStyle w:val="Commentaire"/>
      </w:pPr>
      <w:r w:rsidRPr="00E8665F">
        <w:rPr>
          <w:rStyle w:val="tlid-translation"/>
          <w:rFonts w:asciiTheme="minorEastAsia" w:hAnsiTheme="minorEastAsia"/>
          <w:lang w:val="en"/>
        </w:rPr>
        <w:t>(JEOL, Tokyo, Japan)</w:t>
      </w:r>
      <w:r>
        <w:fldChar w:fldCharType="begin"/>
      </w:r>
      <w:r>
        <w:rPr>
          <w:rStyle w:val="Marquedecommentaire"/>
        </w:rPr>
        <w:instrText xml:space="preserve"> </w:instrText>
      </w:r>
      <w:r>
        <w:instrText>PAGE \# "'Page: '#'</w:instrText>
      </w:r>
      <w:r>
        <w:br/>
        <w:instrText>'"</w:instrText>
      </w:r>
      <w:r>
        <w:rPr>
          <w:rStyle w:val="Marquedecommentaire"/>
        </w:rPr>
        <w:instrText xml:space="preserve"> </w:instrText>
      </w:r>
      <w:r>
        <w:fldChar w:fldCharType="end"/>
      </w:r>
    </w:p>
    <w:p w14:paraId="140733F0" w14:textId="73602E97" w:rsidR="00AF6500" w:rsidRDefault="00AF6500">
      <w:pPr>
        <w:pStyle w:val="Commentaire"/>
      </w:pPr>
    </w:p>
  </w:comment>
  <w:comment w:id="15" w:author="Derek McPhee" w:date="2020-06-01T10:02:00Z" w:initials="DM">
    <w:p w14:paraId="1B674257" w14:textId="7F39DDB3" w:rsidR="008B600E" w:rsidRDefault="008B600E">
      <w:pPr>
        <w:pStyle w:val="Commentaire"/>
      </w:pPr>
      <w:r>
        <w:rPr>
          <w:rStyle w:val="Marquedecommentaire"/>
        </w:rPr>
        <w:annotationRef/>
      </w:r>
      <w:r>
        <w:t>Cite as reference, URLs not permitted.</w:t>
      </w:r>
    </w:p>
  </w:comment>
  <w:comment w:id="18" w:author="MDPI" w:date="2020-05-31T16:45:00Z" w:initials="M">
    <w:p w14:paraId="1AF9DE74" w14:textId="7DB93A68" w:rsidR="001E18A8" w:rsidRDefault="001E18A8">
      <w:pPr>
        <w:pStyle w:val="Commentaire"/>
      </w:pPr>
      <w:proofErr w:type="spellStart"/>
      <w:r>
        <w:t>Beste</w:t>
      </w:r>
      <w:proofErr w:type="spellEnd"/>
      <w:r>
        <w:t xml:space="preserve"> </w:t>
      </w:r>
      <w:proofErr w:type="spellStart"/>
      <w:r>
        <w:rPr>
          <w:rStyle w:val="lev"/>
        </w:rPr>
        <w:t>Orhan</w:t>
      </w:r>
      <w:proofErr w:type="spellEnd"/>
      <w:r>
        <w:t xml:space="preserve"> (B.O.) is not appear in this section, Please confirm it.</w:t>
      </w:r>
      <w:r>
        <w:fldChar w:fldCharType="begin"/>
      </w:r>
      <w:r>
        <w:rPr>
          <w:rStyle w:val="Marquedecommentaire"/>
        </w:rPr>
        <w:instrText xml:space="preserve"> </w:instrText>
      </w:r>
      <w:r>
        <w:instrText>PAGE \# "'Page: '#'</w:instrText>
      </w:r>
      <w:r>
        <w:br/>
        <w:instrText>'"</w:instrText>
      </w:r>
      <w:r>
        <w:rPr>
          <w:rStyle w:val="Marquedecommentaire"/>
        </w:rPr>
        <w:instrText xml:space="preserve"> </w:instrText>
      </w:r>
      <w:r>
        <w:fldChar w:fldCharType="end"/>
      </w:r>
      <w:r>
        <w:rPr>
          <w:rStyle w:val="Marquedecommentaire"/>
        </w:rPr>
        <w:annotationRef/>
      </w:r>
    </w:p>
  </w:comment>
  <w:comment w:id="19" w:author="Derek McPhee" w:date="2020-06-01T10:03:00Z" w:initials="DM">
    <w:p w14:paraId="2C7DAA82" w14:textId="1B73E343" w:rsidR="00A4369C" w:rsidRDefault="00A4369C">
      <w:pPr>
        <w:pStyle w:val="Commentaire"/>
      </w:pPr>
      <w:r>
        <w:rPr>
          <w:rStyle w:val="Marquedecommentaire"/>
        </w:rPr>
        <w:annotationRef/>
      </w:r>
      <w:r>
        <w:t>Verify change.</w:t>
      </w:r>
    </w:p>
  </w:comment>
  <w:comment w:id="20" w:author="MDPI" w:date="2020-05-30T14:44:00Z" w:initials="M">
    <w:p w14:paraId="31123361" w14:textId="77777777" w:rsidR="00DD11A4" w:rsidRDefault="00DD11A4" w:rsidP="00DD11A4">
      <w:pPr>
        <w:pStyle w:val="Commentaire"/>
      </w:pPr>
      <w:r>
        <w:fldChar w:fldCharType="begin"/>
      </w:r>
      <w:r>
        <w:rPr>
          <w:rStyle w:val="Marquedecommentaire"/>
        </w:rPr>
        <w:instrText xml:space="preserve"> </w:instrText>
      </w:r>
      <w:r>
        <w:instrText>PAGE \# "'Page: '#'</w:instrText>
      </w:r>
      <w:r>
        <w:br/>
        <w:instrText>'"</w:instrText>
      </w:r>
      <w:r>
        <w:rPr>
          <w:rStyle w:val="Marquedecommentaire"/>
        </w:rPr>
        <w:instrText xml:space="preserve"> </w:instrText>
      </w:r>
      <w:r>
        <w:fldChar w:fldCharType="end"/>
      </w:r>
      <w:r>
        <w:rPr>
          <w:rStyle w:val="Marquedecommentaire"/>
        </w:rPr>
        <w:annotationRef/>
      </w:r>
      <w:r>
        <w:t xml:space="preserve">Newly added information, please confirm.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42382D30" w15:done="0"/>
  <w15:commentEx w15:paraId="12A5358B" w15:done="0"/>
  <w15:commentEx w15:paraId="578FC804" w15:done="0"/>
  <w15:commentEx w15:paraId="3DC52214" w15:done="0"/>
  <w15:commentEx w15:paraId="31C3DF6B" w15:done="0"/>
  <w15:commentEx w15:paraId="2F914890" w15:done="0"/>
  <w15:commentEx w15:paraId="4534BD9A" w15:done="0"/>
  <w15:commentEx w15:paraId="4659513F" w15:done="0"/>
  <w15:commentEx w15:paraId="52A906E3" w15:done="0"/>
  <w15:commentEx w15:paraId="4CCE7583" w15:done="0"/>
  <w15:commentEx w15:paraId="140733F0" w15:done="0"/>
  <w15:commentEx w15:paraId="1B674257" w15:done="0"/>
  <w15:commentEx w15:paraId="1AF9DE74" w15:done="0"/>
  <w15:commentEx w15:paraId="2C7DAA82" w15:done="0"/>
  <w15:commentEx w15:paraId="31123361"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2382D30" w16cid:durableId="227E9C94"/>
  <w16cid:commentId w16cid:paraId="12A5358B" w16cid:durableId="227E9C97"/>
  <w16cid:commentId w16cid:paraId="578FC804" w16cid:durableId="22806F6B"/>
  <w16cid:commentId w16cid:paraId="3DC52214" w16cid:durableId="227E9C98"/>
  <w16cid:commentId w16cid:paraId="31C3DF6B" w16cid:durableId="227E9C99"/>
  <w16cid:commentId w16cid:paraId="2F914890" w16cid:durableId="227E9C9A"/>
  <w16cid:commentId w16cid:paraId="4534BD9A" w16cid:durableId="227E9C9B"/>
  <w16cid:commentId w16cid:paraId="4659513F" w16cid:durableId="227E9C9C"/>
  <w16cid:commentId w16cid:paraId="52A906E3" w16cid:durableId="227F5044"/>
  <w16cid:commentId w16cid:paraId="4CCE7583" w16cid:durableId="227E9C9D"/>
  <w16cid:commentId w16cid:paraId="140733F0" w16cid:durableId="22806F73"/>
  <w16cid:commentId w16cid:paraId="1B674257" w16cid:durableId="227F50AC"/>
  <w16cid:commentId w16cid:paraId="1AF9DE74" w16cid:durableId="227E9C9F"/>
  <w16cid:commentId w16cid:paraId="2C7DAA82" w16cid:durableId="227F5101"/>
  <w16cid:commentId w16cid:paraId="31123361" w16cid:durableId="22806F7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ECDBA19" w14:textId="77777777" w:rsidR="00C41BE7" w:rsidRDefault="00C41BE7">
      <w:pPr>
        <w:spacing w:line="240" w:lineRule="auto"/>
      </w:pPr>
      <w:r>
        <w:separator/>
      </w:r>
    </w:p>
  </w:endnote>
  <w:endnote w:type="continuationSeparator" w:id="0">
    <w:p w14:paraId="01D96C4B" w14:textId="77777777" w:rsidR="00C41BE7" w:rsidRDefault="00C41BE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altName w:val="Calibri"/>
    <w:panose1 w:val="020F0502020204030204"/>
    <w:charset w:val="00"/>
    <w:family w:val="swiss"/>
    <w:pitch w:val="variable"/>
    <w:sig w:usb0="E0002AFF" w:usb1="C000ACF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Arno Pro">
    <w:altName w:val="Times New Roman"/>
    <w:panose1 w:val="020B0604020202020204"/>
    <w:charset w:val="00"/>
    <w:family w:val="roman"/>
    <w:notTrueType/>
    <w:pitch w:val="variable"/>
    <w:sig w:usb0="60000287" w:usb1="00000001" w:usb2="00000000" w:usb3="00000000" w:csb0="0000019F" w:csb1="00000000"/>
  </w:font>
  <w:font w:name="TimesNewRomanPSMT">
    <w:altName w:val="Times New Roman"/>
    <w:panose1 w:val="020B0604020202020204"/>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E82C967" w14:textId="77777777" w:rsidR="002960D6" w:rsidRPr="00BD5D38" w:rsidRDefault="002960D6" w:rsidP="002960D6">
    <w:pPr>
      <w:pStyle w:val="Pieddepage"/>
      <w:spacing w:line="240" w:lineRule="auto"/>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DD81D1" w14:textId="77777777" w:rsidR="002960D6" w:rsidRPr="00126977" w:rsidRDefault="002960D6" w:rsidP="00F945C2">
    <w:pPr>
      <w:tabs>
        <w:tab w:val="right" w:pos="8844"/>
      </w:tabs>
      <w:adjustRightInd w:val="0"/>
      <w:snapToGrid w:val="0"/>
      <w:spacing w:before="120" w:line="240" w:lineRule="auto"/>
      <w:rPr>
        <w:rFonts w:ascii="Palatino Linotype" w:hAnsi="Palatino Linotype"/>
        <w:sz w:val="16"/>
        <w:szCs w:val="16"/>
      </w:rPr>
    </w:pPr>
    <w:r w:rsidRPr="008573B0">
      <w:rPr>
        <w:rFonts w:ascii="Palatino Linotype" w:hAnsi="Palatino Linotype"/>
        <w:i/>
        <w:sz w:val="16"/>
        <w:szCs w:val="16"/>
      </w:rPr>
      <w:t>Catalysts</w:t>
    </w:r>
    <w:r>
      <w:rPr>
        <w:rFonts w:ascii="Palatino Linotype" w:hAnsi="Palatino Linotype"/>
        <w:i/>
        <w:sz w:val="16"/>
        <w:szCs w:val="16"/>
      </w:rPr>
      <w:t xml:space="preserve"> </w:t>
    </w:r>
    <w:r w:rsidR="00FF09E8" w:rsidRPr="00FF09E8">
      <w:rPr>
        <w:rFonts w:ascii="Palatino Linotype" w:hAnsi="Palatino Linotype"/>
        <w:b/>
        <w:bCs/>
        <w:iCs/>
        <w:sz w:val="16"/>
        <w:szCs w:val="16"/>
      </w:rPr>
      <w:t>20</w:t>
    </w:r>
    <w:r w:rsidR="00F945C2">
      <w:rPr>
        <w:rFonts w:ascii="Palatino Linotype" w:hAnsi="Palatino Linotype"/>
        <w:b/>
        <w:bCs/>
        <w:iCs/>
        <w:sz w:val="16"/>
        <w:szCs w:val="16"/>
      </w:rPr>
      <w:t>20</w:t>
    </w:r>
    <w:r w:rsidR="00FF09E8" w:rsidRPr="00FF09E8">
      <w:rPr>
        <w:rFonts w:ascii="Palatino Linotype" w:hAnsi="Palatino Linotype"/>
        <w:bCs/>
        <w:iCs/>
        <w:sz w:val="16"/>
        <w:szCs w:val="16"/>
      </w:rPr>
      <w:t xml:space="preserve">, </w:t>
    </w:r>
    <w:r w:rsidR="00F945C2">
      <w:rPr>
        <w:rFonts w:ascii="Palatino Linotype" w:hAnsi="Palatino Linotype"/>
        <w:bCs/>
        <w:i/>
        <w:iCs/>
        <w:sz w:val="16"/>
        <w:szCs w:val="16"/>
      </w:rPr>
      <w:t>10</w:t>
    </w:r>
    <w:r w:rsidR="00FF09E8" w:rsidRPr="00FF09E8">
      <w:rPr>
        <w:rFonts w:ascii="Palatino Linotype" w:hAnsi="Palatino Linotype"/>
        <w:bCs/>
        <w:iCs/>
        <w:sz w:val="16"/>
        <w:szCs w:val="16"/>
      </w:rPr>
      <w:t xml:space="preserve">, </w:t>
    </w:r>
    <w:r w:rsidR="00F33CC0">
      <w:rPr>
        <w:rFonts w:ascii="Palatino Linotype" w:hAnsi="Palatino Linotype"/>
        <w:bCs/>
        <w:iCs/>
        <w:sz w:val="16"/>
        <w:szCs w:val="16"/>
      </w:rPr>
      <w:t xml:space="preserve">x; </w:t>
    </w:r>
    <w:proofErr w:type="spellStart"/>
    <w:r w:rsidR="00F33CC0">
      <w:rPr>
        <w:rFonts w:ascii="Palatino Linotype" w:hAnsi="Palatino Linotype"/>
        <w:bCs/>
        <w:iCs/>
        <w:sz w:val="16"/>
        <w:szCs w:val="16"/>
      </w:rPr>
      <w:t>doi</w:t>
    </w:r>
    <w:proofErr w:type="spellEnd"/>
    <w:r w:rsidR="00F33CC0">
      <w:rPr>
        <w:rFonts w:ascii="Palatino Linotype" w:hAnsi="Palatino Linotype"/>
        <w:bCs/>
        <w:iCs/>
        <w:sz w:val="16"/>
        <w:szCs w:val="16"/>
      </w:rPr>
      <w:t>: FOR PEER REVIEW</w:t>
    </w:r>
    <w:r w:rsidR="005C539D" w:rsidRPr="00126977">
      <w:rPr>
        <w:rFonts w:ascii="Palatino Linotype" w:hAnsi="Palatino Linotype"/>
        <w:sz w:val="16"/>
        <w:szCs w:val="16"/>
      </w:rPr>
      <w:tab/>
    </w:r>
    <w:r w:rsidRPr="00126977">
      <w:rPr>
        <w:rFonts w:ascii="Palatino Linotype" w:hAnsi="Palatino Linotype"/>
        <w:sz w:val="16"/>
        <w:szCs w:val="16"/>
      </w:rPr>
      <w:t>www.mdpi.com/journal/</w:t>
    </w:r>
    <w:r w:rsidRPr="008573B0">
      <w:rPr>
        <w:rFonts w:ascii="Palatino Linotype" w:hAnsi="Palatino Linotype"/>
        <w:sz w:val="16"/>
        <w:szCs w:val="16"/>
      </w:rPr>
      <w:t>catalysts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559E360" w14:textId="77777777" w:rsidR="00C41BE7" w:rsidRDefault="00C41BE7">
      <w:pPr>
        <w:spacing w:line="240" w:lineRule="auto"/>
      </w:pPr>
      <w:r>
        <w:separator/>
      </w:r>
    </w:p>
  </w:footnote>
  <w:footnote w:type="continuationSeparator" w:id="0">
    <w:p w14:paraId="76232A14" w14:textId="77777777" w:rsidR="00C41BE7" w:rsidRDefault="00C41BE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7076FE" w14:textId="77777777" w:rsidR="002960D6" w:rsidRDefault="002960D6" w:rsidP="002960D6">
    <w:pPr>
      <w:pStyle w:val="En-tte"/>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707FCA0" w14:textId="69BF38EC" w:rsidR="002960D6" w:rsidRPr="001B1E3B" w:rsidRDefault="002960D6" w:rsidP="00F945C2">
    <w:pPr>
      <w:tabs>
        <w:tab w:val="right" w:pos="8844"/>
      </w:tabs>
      <w:adjustRightInd w:val="0"/>
      <w:snapToGrid w:val="0"/>
      <w:spacing w:after="240" w:line="240" w:lineRule="auto"/>
      <w:rPr>
        <w:rFonts w:ascii="Palatino Linotype" w:hAnsi="Palatino Linotype"/>
        <w:sz w:val="16"/>
      </w:rPr>
    </w:pPr>
    <w:r>
      <w:rPr>
        <w:rFonts w:ascii="Palatino Linotype" w:hAnsi="Palatino Linotype"/>
        <w:i/>
        <w:sz w:val="16"/>
      </w:rPr>
      <w:t xml:space="preserve">Catalysts </w:t>
    </w:r>
    <w:r w:rsidR="00FF09E8" w:rsidRPr="00FF09E8">
      <w:rPr>
        <w:rFonts w:ascii="Palatino Linotype" w:hAnsi="Palatino Linotype"/>
        <w:b/>
        <w:sz w:val="16"/>
      </w:rPr>
      <w:t>20</w:t>
    </w:r>
    <w:r w:rsidR="00F945C2">
      <w:rPr>
        <w:rFonts w:ascii="Palatino Linotype" w:hAnsi="Palatino Linotype"/>
        <w:b/>
        <w:sz w:val="16"/>
      </w:rPr>
      <w:t>20</w:t>
    </w:r>
    <w:r w:rsidR="00FF09E8" w:rsidRPr="00FF09E8">
      <w:rPr>
        <w:rFonts w:ascii="Palatino Linotype" w:hAnsi="Palatino Linotype"/>
        <w:sz w:val="16"/>
      </w:rPr>
      <w:t xml:space="preserve">, </w:t>
    </w:r>
    <w:r w:rsidR="00F945C2">
      <w:rPr>
        <w:rFonts w:ascii="Palatino Linotype" w:hAnsi="Palatino Linotype"/>
        <w:i/>
        <w:sz w:val="16"/>
      </w:rPr>
      <w:t>10</w:t>
    </w:r>
    <w:r w:rsidR="00F33CC0">
      <w:rPr>
        <w:rFonts w:ascii="Palatino Linotype" w:hAnsi="Palatino Linotype"/>
        <w:sz w:val="16"/>
      </w:rPr>
      <w:t>, x FOR PEER REVIEW</w:t>
    </w:r>
    <w:r w:rsidR="005C539D">
      <w:rPr>
        <w:rFonts w:ascii="Palatino Linotype" w:hAnsi="Palatino Linotype"/>
        <w:sz w:val="16"/>
      </w:rPr>
      <w:tab/>
    </w:r>
    <w:r w:rsidR="00F33CC0">
      <w:rPr>
        <w:rFonts w:ascii="Palatino Linotype" w:hAnsi="Palatino Linotype"/>
        <w:sz w:val="16"/>
      </w:rPr>
      <w:fldChar w:fldCharType="begin"/>
    </w:r>
    <w:r w:rsidR="00F33CC0">
      <w:rPr>
        <w:rFonts w:ascii="Palatino Linotype" w:hAnsi="Palatino Linotype"/>
        <w:sz w:val="16"/>
      </w:rPr>
      <w:instrText xml:space="preserve"> PAGE   \* MERGEFORMAT </w:instrText>
    </w:r>
    <w:r w:rsidR="00F33CC0">
      <w:rPr>
        <w:rFonts w:ascii="Palatino Linotype" w:hAnsi="Palatino Linotype"/>
        <w:sz w:val="16"/>
      </w:rPr>
      <w:fldChar w:fldCharType="separate"/>
    </w:r>
    <w:r w:rsidR="007319A9">
      <w:rPr>
        <w:rFonts w:ascii="Palatino Linotype" w:hAnsi="Palatino Linotype"/>
        <w:noProof/>
        <w:sz w:val="16"/>
      </w:rPr>
      <w:t>9</w:t>
    </w:r>
    <w:r w:rsidR="00F33CC0">
      <w:rPr>
        <w:rFonts w:ascii="Palatino Linotype" w:hAnsi="Palatino Linotype"/>
        <w:sz w:val="16"/>
      </w:rPr>
      <w:fldChar w:fldCharType="end"/>
    </w:r>
    <w:r w:rsidR="00F33CC0">
      <w:rPr>
        <w:rFonts w:ascii="Palatino Linotype" w:hAnsi="Palatino Linotype"/>
        <w:sz w:val="16"/>
      </w:rPr>
      <w:t xml:space="preserve"> of </w:t>
    </w:r>
    <w:r w:rsidR="00F33CC0">
      <w:rPr>
        <w:rFonts w:ascii="Palatino Linotype" w:hAnsi="Palatino Linotype"/>
        <w:sz w:val="16"/>
      </w:rPr>
      <w:fldChar w:fldCharType="begin"/>
    </w:r>
    <w:r w:rsidR="00F33CC0">
      <w:rPr>
        <w:rFonts w:ascii="Palatino Linotype" w:hAnsi="Palatino Linotype"/>
        <w:sz w:val="16"/>
      </w:rPr>
      <w:instrText xml:space="preserve"> NUMPAGES   \* MERGEFORMAT </w:instrText>
    </w:r>
    <w:r w:rsidR="00F33CC0">
      <w:rPr>
        <w:rFonts w:ascii="Palatino Linotype" w:hAnsi="Palatino Linotype"/>
        <w:sz w:val="16"/>
      </w:rPr>
      <w:fldChar w:fldCharType="separate"/>
    </w:r>
    <w:r w:rsidR="007319A9">
      <w:rPr>
        <w:rFonts w:ascii="Palatino Linotype" w:hAnsi="Palatino Linotype"/>
        <w:noProof/>
        <w:sz w:val="16"/>
      </w:rPr>
      <w:t>9</w:t>
    </w:r>
    <w:r w:rsidR="00F33CC0">
      <w:rPr>
        <w:rFonts w:ascii="Palatino Linotype" w:hAnsi="Palatino Linotype"/>
        <w:sz w:val="16"/>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E906AF3" w14:textId="77777777" w:rsidR="002960D6" w:rsidRDefault="00F225DA" w:rsidP="002960D6">
    <w:pPr>
      <w:pStyle w:val="MDPIheaderjournallogo"/>
    </w:pPr>
    <w:r w:rsidRPr="004524AC">
      <w:rPr>
        <w:i w:val="0"/>
        <w:noProof/>
        <w:szCs w:val="16"/>
        <w:lang w:eastAsia="zh-CN"/>
      </w:rPr>
      <mc:AlternateContent>
        <mc:Choice Requires="wps">
          <w:drawing>
            <wp:anchor distT="45720" distB="45720" distL="114300" distR="114300" simplePos="0" relativeHeight="251657728" behindDoc="1" locked="0" layoutInCell="1" allowOverlap="1" wp14:anchorId="2789A750" wp14:editId="66E47F80">
              <wp:simplePos x="0" y="0"/>
              <wp:positionH relativeFrom="page">
                <wp:posOffset>6029960</wp:posOffset>
              </wp:positionH>
              <wp:positionV relativeFrom="page">
                <wp:posOffset>647700</wp:posOffset>
              </wp:positionV>
              <wp:extent cx="540385" cy="709295"/>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385" cy="709295"/>
                      </a:xfrm>
                      <a:prstGeom prst="rect">
                        <a:avLst/>
                      </a:prstGeom>
                      <a:solidFill>
                        <a:srgbClr val="FFFFFF"/>
                      </a:solidFill>
                      <a:ln w="9525">
                        <a:noFill/>
                        <a:miter lim="800000"/>
                        <a:headEnd/>
                        <a:tailEnd/>
                      </a:ln>
                    </wps:spPr>
                    <wps:txbx>
                      <w:txbxContent>
                        <w:p w14:paraId="59FB369F" w14:textId="77777777" w:rsidR="002960D6" w:rsidRDefault="00F225DA" w:rsidP="002960D6">
                          <w:pPr>
                            <w:pStyle w:val="MDPIheaderjournallogo"/>
                            <w:jc w:val="center"/>
                            <w:textboxTightWrap w:val="allLines"/>
                            <w:rPr>
                              <w:i w:val="0"/>
                              <w:szCs w:val="16"/>
                            </w:rPr>
                          </w:pPr>
                          <w:r w:rsidRPr="00807E37">
                            <w:rPr>
                              <w:i w:val="0"/>
                              <w:noProof/>
                              <w:szCs w:val="16"/>
                              <w:lang w:eastAsia="zh-CN"/>
                            </w:rPr>
                            <w:drawing>
                              <wp:inline distT="0" distB="0" distL="0" distR="0" wp14:anchorId="101A62DD" wp14:editId="5F4F80D0">
                                <wp:extent cx="542925" cy="352425"/>
                                <wp:effectExtent l="0" t="0" r="0" b="0"/>
                                <wp:docPr id="4" name="Picture 3" descr="C:\Users\home\Desktop\logos\ori\png\logo-m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Desktop\logos\ori\png\logo-mdp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2925" cy="352425"/>
                                        </a:xfrm>
                                        <a:prstGeom prst="rect">
                                          <a:avLst/>
                                        </a:prstGeom>
                                        <a:noFill/>
                                        <a:ln>
                                          <a:noFill/>
                                        </a:ln>
                                      </pic:spPr>
                                    </pic:pic>
                                  </a:graphicData>
                                </a:graphic>
                              </wp:inline>
                            </w:drawing>
                          </w:r>
                        </w:p>
                      </w:txbxContent>
                    </wps:txbx>
                    <wps:bodyPr rot="0" vert="horz" wrap="non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789A750" id="_x0000_t202" coordsize="21600,21600" o:spt="202" path="m,l,21600r21600,l21600,xe">
              <v:stroke joinstyle="miter"/>
              <v:path gradientshapeok="t" o:connecttype="rect"/>
            </v:shapetype>
            <v:shape id="Text Box 2" o:spid="_x0000_s1026" type="#_x0000_t202" style="position:absolute;left:0;text-align:left;margin-left:474.8pt;margin-top:51pt;width:42.55pt;height:55.85pt;z-index:-251658752;visibility:visible;mso-wrap-style:none;mso-width-percent:0;mso-height-percent:0;mso-wrap-distance-left:9pt;mso-wrap-distance-top:3.6pt;mso-wrap-distance-right:9pt;mso-wrap-distance-bottom:3.6pt;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" stroked="f">
              <v:textbox inset="0,0,0,0">
                <w:txbxContent>
                  <w:p w14:paraId="59FB369F" w14:textId="77777777" w:rsidR="002960D6" w:rsidRDefault="00F225DA" w:rsidP="002960D6">
                    <w:pPr>
                      <w:pStyle w:val="MDPIheaderjournallogo"/>
                      <w:jc w:val="center"/>
                      <w:textboxTightWrap w:val="allLines"/>
                      <w:rPr>
                        <w:i w:val="0"/>
                        <w:szCs w:val="16"/>
                      </w:rPr>
                    </w:pPr>
                    <w:r w:rsidRPr="00807E37">
                      <w:rPr>
                        <w:i w:val="0"/>
                        <w:noProof/>
                        <w:szCs w:val="16"/>
                        <w:lang w:eastAsia="zh-CN"/>
                      </w:rPr>
                      <w:drawing>
                        <wp:inline distT="0" distB="0" distL="0" distR="0" wp14:anchorId="101A62DD" wp14:editId="5F4F80D0">
                          <wp:extent cx="542925" cy="352425"/>
                          <wp:effectExtent l="0" t="0" r="0" b="0"/>
                          <wp:docPr id="4" name="Picture 3" descr="C:\Users\home\Desktop\logos\ori\png\logo-m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Desktop\logos\ori\png\logo-mdpi.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2925" cy="352425"/>
                                  </a:xfrm>
                                  <a:prstGeom prst="rect">
                                    <a:avLst/>
                                  </a:prstGeom>
                                  <a:noFill/>
                                  <a:ln>
                                    <a:noFill/>
                                  </a:ln>
                                </pic:spPr>
                              </pic:pic>
                            </a:graphicData>
                          </a:graphic>
                        </wp:inline>
                      </w:drawing>
                    </w:r>
                  </w:p>
                </w:txbxContent>
              </v:textbox>
              <w10:wrap anchorx="page" anchory="page"/>
            </v:shape>
          </w:pict>
        </mc:Fallback>
      </mc:AlternateContent>
    </w:r>
    <w:r w:rsidRPr="00A04686">
      <w:rPr>
        <w:noProof/>
        <w:lang w:eastAsia="zh-CN"/>
      </w:rPr>
      <w:drawing>
        <wp:inline distT="0" distB="0" distL="0" distR="0" wp14:anchorId="66FC50BA" wp14:editId="78B1D9BE">
          <wp:extent cx="1609725" cy="428625"/>
          <wp:effectExtent l="0" t="0" r="0" b="0"/>
          <wp:docPr id="5" name="Picture 3" descr="C:\Users\home\AppData\Local\Temp\HZ$D.003.482\catalysts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AppData\Local\Temp\HZ$D.003.482\catalysts_logo.pn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609725" cy="4286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50A245F"/>
    <w:multiLevelType w:val="hybridMultilevel"/>
    <w:tmpl w:val="1C3A3F0C"/>
    <w:lvl w:ilvl="0" w:tplc="1AF444CE">
      <w:start w:val="1"/>
      <w:numFmt w:val="decimal"/>
      <w:pStyle w:val="MDPI71References"/>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805051C"/>
    <w:multiLevelType w:val="hybridMultilevel"/>
    <w:tmpl w:val="857682CE"/>
    <w:lvl w:ilvl="0" w:tplc="CDCEE7DA">
      <w:start w:val="1"/>
      <w:numFmt w:val="decimal"/>
      <w:pStyle w:val="MDPI37itemize"/>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2" w15:restartNumberingAfterBreak="0">
    <w:nsid w:val="369A6535"/>
    <w:multiLevelType w:val="hybridMultilevel"/>
    <w:tmpl w:val="781408B4"/>
    <w:lvl w:ilvl="0" w:tplc="B2367048">
      <w:start w:val="1"/>
      <w:numFmt w:val="bullet"/>
      <w:pStyle w:val="MDPI38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3" w15:restartNumberingAfterBreak="0">
    <w:nsid w:val="3CC4793E"/>
    <w:multiLevelType w:val="hybridMultilevel"/>
    <w:tmpl w:val="1E5E52AA"/>
    <w:lvl w:ilvl="0" w:tplc="A2DA1DF6">
      <w:start w:val="1"/>
      <w:numFmt w:val="decimal"/>
      <w:pStyle w:val="RSCR02References"/>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1"/>
  </w:num>
  <w:num w:numId="2">
    <w:abstractNumId w:val="2"/>
  </w:num>
  <w:num w:numId="3">
    <w:abstractNumId w:val="0"/>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2"/>
  </w:num>
  <w:num w:numId="7">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MDPI">
    <w15:presenceInfo w15:providerId="None" w15:userId="MDPI"/>
  </w15:person>
  <w15:person w15:author="Derek McPhee">
    <w15:presenceInfo w15:providerId="Windows Live" w15:userId="30749ff9cec605e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95"/>
  <w:bordersDoNotSurroundHeader/>
  <w:bordersDoNotSurroundFooter/>
  <w:proofState w:spelling="clean" w:grammar="clean"/>
  <w:attachedTemplate r:id="rId1"/>
  <w:revisionView w:markup="0"/>
  <w:defaultTabStop w:val="420"/>
  <w:hyphenationZone w:val="425"/>
  <w:drawingGridHorizontalSpacing w:val="120"/>
  <w:drawingGridVerticalSpacing w:val="163"/>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25DA"/>
    <w:rsid w:val="0000367C"/>
    <w:rsid w:val="0001548D"/>
    <w:rsid w:val="00033F30"/>
    <w:rsid w:val="0003492B"/>
    <w:rsid w:val="00070086"/>
    <w:rsid w:val="000779C5"/>
    <w:rsid w:val="00077AA9"/>
    <w:rsid w:val="00097EFC"/>
    <w:rsid w:val="000D2681"/>
    <w:rsid w:val="00117E56"/>
    <w:rsid w:val="00122161"/>
    <w:rsid w:val="00126977"/>
    <w:rsid w:val="00130D16"/>
    <w:rsid w:val="00153AD4"/>
    <w:rsid w:val="00156554"/>
    <w:rsid w:val="00192076"/>
    <w:rsid w:val="001C03B2"/>
    <w:rsid w:val="001D3272"/>
    <w:rsid w:val="001E18A8"/>
    <w:rsid w:val="001E2AEB"/>
    <w:rsid w:val="001F7F9C"/>
    <w:rsid w:val="00245E74"/>
    <w:rsid w:val="00247A07"/>
    <w:rsid w:val="00251332"/>
    <w:rsid w:val="00280CBD"/>
    <w:rsid w:val="00284E90"/>
    <w:rsid w:val="002960D6"/>
    <w:rsid w:val="002B1329"/>
    <w:rsid w:val="002D6CEC"/>
    <w:rsid w:val="002F5FD7"/>
    <w:rsid w:val="00300B22"/>
    <w:rsid w:val="00306E0C"/>
    <w:rsid w:val="00306EF8"/>
    <w:rsid w:val="003245AE"/>
    <w:rsid w:val="00326141"/>
    <w:rsid w:val="003519C1"/>
    <w:rsid w:val="00370741"/>
    <w:rsid w:val="003A150F"/>
    <w:rsid w:val="003A158E"/>
    <w:rsid w:val="003A6B5B"/>
    <w:rsid w:val="003C644D"/>
    <w:rsid w:val="003D19B3"/>
    <w:rsid w:val="003D73BB"/>
    <w:rsid w:val="003F6CE1"/>
    <w:rsid w:val="00401D30"/>
    <w:rsid w:val="00404FA3"/>
    <w:rsid w:val="00411DFA"/>
    <w:rsid w:val="00431D4C"/>
    <w:rsid w:val="004325E5"/>
    <w:rsid w:val="00450E85"/>
    <w:rsid w:val="0047598D"/>
    <w:rsid w:val="00480C0E"/>
    <w:rsid w:val="004A5B13"/>
    <w:rsid w:val="005230BB"/>
    <w:rsid w:val="00546ACE"/>
    <w:rsid w:val="005A303C"/>
    <w:rsid w:val="005C539D"/>
    <w:rsid w:val="00603482"/>
    <w:rsid w:val="0064400C"/>
    <w:rsid w:val="00661AB3"/>
    <w:rsid w:val="00692393"/>
    <w:rsid w:val="006E4E7F"/>
    <w:rsid w:val="006F336F"/>
    <w:rsid w:val="006F7E3E"/>
    <w:rsid w:val="007319A9"/>
    <w:rsid w:val="00733607"/>
    <w:rsid w:val="00747EA1"/>
    <w:rsid w:val="00750CFC"/>
    <w:rsid w:val="0076174F"/>
    <w:rsid w:val="00767E69"/>
    <w:rsid w:val="00797F16"/>
    <w:rsid w:val="007A0CF7"/>
    <w:rsid w:val="007B0B2E"/>
    <w:rsid w:val="007B2458"/>
    <w:rsid w:val="007C04FF"/>
    <w:rsid w:val="007C2FE5"/>
    <w:rsid w:val="007D77CE"/>
    <w:rsid w:val="007E3150"/>
    <w:rsid w:val="00800E52"/>
    <w:rsid w:val="00807E37"/>
    <w:rsid w:val="00846F7E"/>
    <w:rsid w:val="00866D4E"/>
    <w:rsid w:val="00873B97"/>
    <w:rsid w:val="008778C2"/>
    <w:rsid w:val="008926B0"/>
    <w:rsid w:val="00894A8E"/>
    <w:rsid w:val="00897CF1"/>
    <w:rsid w:val="008A7DEB"/>
    <w:rsid w:val="008B600E"/>
    <w:rsid w:val="008C118C"/>
    <w:rsid w:val="008C7978"/>
    <w:rsid w:val="008E3A5F"/>
    <w:rsid w:val="00900A4E"/>
    <w:rsid w:val="009101FB"/>
    <w:rsid w:val="00930877"/>
    <w:rsid w:val="00964F68"/>
    <w:rsid w:val="0096534C"/>
    <w:rsid w:val="009907CE"/>
    <w:rsid w:val="00993BAB"/>
    <w:rsid w:val="009A1C5A"/>
    <w:rsid w:val="009C0433"/>
    <w:rsid w:val="009F04E2"/>
    <w:rsid w:val="009F70E6"/>
    <w:rsid w:val="00A0435D"/>
    <w:rsid w:val="00A10C49"/>
    <w:rsid w:val="00A20B72"/>
    <w:rsid w:val="00A30D86"/>
    <w:rsid w:val="00A4369C"/>
    <w:rsid w:val="00A747A7"/>
    <w:rsid w:val="00A8653D"/>
    <w:rsid w:val="00A87726"/>
    <w:rsid w:val="00A9006D"/>
    <w:rsid w:val="00A9017D"/>
    <w:rsid w:val="00A9339D"/>
    <w:rsid w:val="00AB06AA"/>
    <w:rsid w:val="00AB2200"/>
    <w:rsid w:val="00AC197F"/>
    <w:rsid w:val="00AD6BC5"/>
    <w:rsid w:val="00AD778A"/>
    <w:rsid w:val="00AE3E44"/>
    <w:rsid w:val="00AF6500"/>
    <w:rsid w:val="00AF6B03"/>
    <w:rsid w:val="00B0714A"/>
    <w:rsid w:val="00B15DDE"/>
    <w:rsid w:val="00B42BA3"/>
    <w:rsid w:val="00B835BB"/>
    <w:rsid w:val="00BA574E"/>
    <w:rsid w:val="00BA5FCE"/>
    <w:rsid w:val="00BA6D80"/>
    <w:rsid w:val="00BB0C4D"/>
    <w:rsid w:val="00BB1180"/>
    <w:rsid w:val="00BB22D8"/>
    <w:rsid w:val="00BC212F"/>
    <w:rsid w:val="00BD08D0"/>
    <w:rsid w:val="00BE7213"/>
    <w:rsid w:val="00BE729E"/>
    <w:rsid w:val="00C0255E"/>
    <w:rsid w:val="00C03906"/>
    <w:rsid w:val="00C41BE7"/>
    <w:rsid w:val="00C60885"/>
    <w:rsid w:val="00C61727"/>
    <w:rsid w:val="00C635AE"/>
    <w:rsid w:val="00C804C9"/>
    <w:rsid w:val="00C9690A"/>
    <w:rsid w:val="00CB0035"/>
    <w:rsid w:val="00CC1DAF"/>
    <w:rsid w:val="00CE4305"/>
    <w:rsid w:val="00D04592"/>
    <w:rsid w:val="00D43394"/>
    <w:rsid w:val="00D444D7"/>
    <w:rsid w:val="00D52803"/>
    <w:rsid w:val="00D54C5A"/>
    <w:rsid w:val="00D55AD8"/>
    <w:rsid w:val="00D93EB3"/>
    <w:rsid w:val="00DA0F93"/>
    <w:rsid w:val="00DD11A4"/>
    <w:rsid w:val="00DE34B0"/>
    <w:rsid w:val="00DF62C6"/>
    <w:rsid w:val="00E31591"/>
    <w:rsid w:val="00E338BA"/>
    <w:rsid w:val="00E767F3"/>
    <w:rsid w:val="00E80330"/>
    <w:rsid w:val="00E83036"/>
    <w:rsid w:val="00E93E70"/>
    <w:rsid w:val="00EC550F"/>
    <w:rsid w:val="00EF6103"/>
    <w:rsid w:val="00F114CE"/>
    <w:rsid w:val="00F169A4"/>
    <w:rsid w:val="00F225DA"/>
    <w:rsid w:val="00F271BB"/>
    <w:rsid w:val="00F33CC0"/>
    <w:rsid w:val="00F4503C"/>
    <w:rsid w:val="00F56823"/>
    <w:rsid w:val="00F70368"/>
    <w:rsid w:val="00F76E4F"/>
    <w:rsid w:val="00F808C7"/>
    <w:rsid w:val="00F945C2"/>
    <w:rsid w:val="00FB48E0"/>
    <w:rsid w:val="00FC35B4"/>
    <w:rsid w:val="00FE0411"/>
    <w:rsid w:val="00FE12A9"/>
    <w:rsid w:val="00FE4121"/>
    <w:rsid w:val="00FF09E8"/>
    <w:rsid w:val="00FF2264"/>
    <w:rsid w:val="00FF352A"/>
  </w:rsids>
  <m:mathPr>
    <m:mathFont m:val="Cambria Math"/>
    <m:brkBin m:val="before"/>
    <m:brkBinSub m:val="--"/>
    <m:smallFrac m:val="0"/>
    <m:dispDef/>
    <m:lMargin m:val="0"/>
    <m:rMargin m:val="0"/>
    <m:defJc m:val="centerGroup"/>
    <m:wrapIndent m:val="1440"/>
    <m:intLim m:val="subSup"/>
    <m:naryLim m:val="undOvr"/>
  </m:mathPr>
  <w:themeFontLang w:val="fr-BE"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CF5D3E"/>
  <w15:chartTrackingRefBased/>
  <w15:docId w15:val="{7528C13C-DFCB-4420-B4E1-B37B91031F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SimSun" w:hAnsi="Calibri" w:cs="Times New Roman"/>
        <w:lang w:val="fr-BE" w:eastAsia="fr-B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7E37"/>
    <w:pPr>
      <w:spacing w:line="340" w:lineRule="atLeast"/>
      <w:jc w:val="both"/>
    </w:pPr>
    <w:rPr>
      <w:rFonts w:ascii="Times New Roman" w:eastAsia="Times New Roman" w:hAnsi="Times New Roman"/>
      <w:color w:val="000000"/>
      <w:sz w:val="24"/>
      <w:lang w:val="en-US" w:eastAsia="de-D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MDPI11articletype">
    <w:name w:val="MDPI_1.1_article_type"/>
    <w:next w:val="MDPI12title"/>
    <w:qFormat/>
    <w:rsid w:val="003F6CE1"/>
    <w:pPr>
      <w:adjustRightInd w:val="0"/>
      <w:snapToGrid w:val="0"/>
      <w:spacing w:before="240"/>
    </w:pPr>
    <w:rPr>
      <w:rFonts w:ascii="Palatino Linotype" w:eastAsia="Times New Roman" w:hAnsi="Palatino Linotype"/>
      <w:i/>
      <w:snapToGrid w:val="0"/>
      <w:color w:val="000000"/>
      <w:szCs w:val="22"/>
      <w:lang w:val="en-US" w:eastAsia="de-DE" w:bidi="en-US"/>
    </w:rPr>
  </w:style>
  <w:style w:type="paragraph" w:customStyle="1" w:styleId="MDPI12title">
    <w:name w:val="MDPI_1.2_title"/>
    <w:next w:val="MDPI13authornames"/>
    <w:qFormat/>
    <w:rsid w:val="003F6CE1"/>
    <w:pPr>
      <w:adjustRightInd w:val="0"/>
      <w:snapToGrid w:val="0"/>
      <w:spacing w:after="240" w:line="240" w:lineRule="atLeast"/>
    </w:pPr>
    <w:rPr>
      <w:rFonts w:ascii="Palatino Linotype" w:eastAsia="Times New Roman" w:hAnsi="Palatino Linotype"/>
      <w:b/>
      <w:snapToGrid w:val="0"/>
      <w:color w:val="000000"/>
      <w:sz w:val="36"/>
      <w:lang w:val="en-US" w:eastAsia="de-DE" w:bidi="en-US"/>
    </w:rPr>
  </w:style>
  <w:style w:type="paragraph" w:customStyle="1" w:styleId="MDPI13authornames">
    <w:name w:val="MDPI_1.3_authornames"/>
    <w:next w:val="MDPI14history"/>
    <w:qFormat/>
    <w:rsid w:val="003F6CE1"/>
    <w:pPr>
      <w:adjustRightInd w:val="0"/>
      <w:snapToGrid w:val="0"/>
      <w:spacing w:after="120" w:line="260" w:lineRule="atLeast"/>
    </w:pPr>
    <w:rPr>
      <w:rFonts w:ascii="Palatino Linotype" w:eastAsia="Times New Roman" w:hAnsi="Palatino Linotype"/>
      <w:b/>
      <w:color w:val="000000"/>
      <w:szCs w:val="22"/>
      <w:lang w:val="en-US" w:eastAsia="de-DE" w:bidi="en-US"/>
    </w:rPr>
  </w:style>
  <w:style w:type="paragraph" w:customStyle="1" w:styleId="MDPI14history">
    <w:name w:val="MDPI_1.4_history"/>
    <w:basedOn w:val="MDPI62Acknowledgments"/>
    <w:next w:val="Normal"/>
    <w:qFormat/>
    <w:rsid w:val="003F6CE1"/>
    <w:pPr>
      <w:ind w:left="113"/>
      <w:jc w:val="left"/>
    </w:pPr>
    <w:rPr>
      <w:snapToGrid/>
    </w:rPr>
  </w:style>
  <w:style w:type="paragraph" w:customStyle="1" w:styleId="MDPI16affiliation">
    <w:name w:val="MDPI_1.6_affiliation"/>
    <w:qFormat/>
    <w:rsid w:val="003F6CE1"/>
    <w:pPr>
      <w:adjustRightInd w:val="0"/>
      <w:snapToGrid w:val="0"/>
      <w:spacing w:line="260" w:lineRule="atLeast"/>
      <w:ind w:left="311" w:hanging="198"/>
    </w:pPr>
    <w:rPr>
      <w:rFonts w:ascii="Palatino Linotype" w:eastAsia="Times New Roman" w:hAnsi="Palatino Linotype"/>
      <w:color w:val="000000"/>
      <w:sz w:val="18"/>
      <w:szCs w:val="18"/>
      <w:lang w:val="en-US" w:eastAsia="de-DE" w:bidi="en-US"/>
    </w:rPr>
  </w:style>
  <w:style w:type="paragraph" w:customStyle="1" w:styleId="MDPI17abstract">
    <w:name w:val="MDPI_1.7_abstract"/>
    <w:next w:val="Normal"/>
    <w:qFormat/>
    <w:rsid w:val="003F6CE1"/>
    <w:pPr>
      <w:adjustRightInd w:val="0"/>
      <w:snapToGrid w:val="0"/>
      <w:spacing w:before="240" w:line="260" w:lineRule="atLeast"/>
      <w:ind w:left="113"/>
      <w:jc w:val="both"/>
    </w:pPr>
    <w:rPr>
      <w:rFonts w:ascii="Palatino Linotype" w:eastAsia="Times New Roman" w:hAnsi="Palatino Linotype"/>
      <w:color w:val="000000"/>
      <w:szCs w:val="22"/>
      <w:lang w:val="en-US" w:eastAsia="de-DE" w:bidi="en-US"/>
    </w:rPr>
  </w:style>
  <w:style w:type="paragraph" w:customStyle="1" w:styleId="MDPI18keywords">
    <w:name w:val="MDPI_1.8_keywords"/>
    <w:next w:val="Normal"/>
    <w:qFormat/>
    <w:rsid w:val="003F6CE1"/>
    <w:pPr>
      <w:adjustRightInd w:val="0"/>
      <w:snapToGrid w:val="0"/>
      <w:spacing w:before="240" w:line="260" w:lineRule="atLeast"/>
      <w:ind w:left="113"/>
      <w:jc w:val="both"/>
    </w:pPr>
    <w:rPr>
      <w:rFonts w:ascii="Palatino Linotype" w:eastAsia="Times New Roman" w:hAnsi="Palatino Linotype"/>
      <w:snapToGrid w:val="0"/>
      <w:color w:val="000000"/>
      <w:szCs w:val="22"/>
      <w:lang w:val="en-US" w:eastAsia="de-DE" w:bidi="en-US"/>
    </w:rPr>
  </w:style>
  <w:style w:type="paragraph" w:customStyle="1" w:styleId="MDPI19line">
    <w:name w:val="MDPI_1.9_line"/>
    <w:qFormat/>
    <w:rsid w:val="003F6CE1"/>
    <w:pPr>
      <w:pBdr>
        <w:bottom w:val="single" w:sz="6" w:space="1" w:color="auto"/>
      </w:pBdr>
      <w:spacing w:line="260" w:lineRule="atLeast"/>
      <w:jc w:val="both"/>
    </w:pPr>
    <w:rPr>
      <w:rFonts w:ascii="Palatino Linotype" w:eastAsia="Times New Roman" w:hAnsi="Palatino Linotype" w:cstheme="minorBidi"/>
      <w:color w:val="000000"/>
      <w:szCs w:val="24"/>
      <w:lang w:val="en-US" w:eastAsia="de-DE" w:bidi="en-US"/>
    </w:rPr>
  </w:style>
  <w:style w:type="table" w:customStyle="1" w:styleId="Mdeck5tablebodythreelines">
    <w:name w:val="M_deck_5_table_body_three_lines"/>
    <w:basedOn w:val="TableauNormal"/>
    <w:uiPriority w:val="99"/>
    <w:rsid w:val="00807E37"/>
    <w:pPr>
      <w:adjustRightInd w:val="0"/>
      <w:snapToGrid w:val="0"/>
      <w:spacing w:line="300" w:lineRule="exact"/>
      <w:jc w:val="center"/>
    </w:pPr>
    <w:rPr>
      <w:rFonts w:ascii="Times New Roman" w:hAnsi="Times New Roman"/>
      <w:lang w:val="de-DE" w:eastAsia="de-DE"/>
    </w:rPr>
    <w:tblPr>
      <w:jc w:val="center"/>
      <w:tblBorders>
        <w:bottom w:val="single" w:sz="8" w:space="0" w:color="auto"/>
      </w:tblBorders>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table" w:styleId="Grilledutableau">
    <w:name w:val="Table Grid"/>
    <w:basedOn w:val="TableauNormal"/>
    <w:uiPriority w:val="59"/>
    <w:rsid w:val="00807E37"/>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depage">
    <w:name w:val="footer"/>
    <w:basedOn w:val="Normal"/>
    <w:link w:val="PieddepageCar"/>
    <w:uiPriority w:val="99"/>
    <w:rsid w:val="00807E37"/>
    <w:pPr>
      <w:tabs>
        <w:tab w:val="center" w:pos="4153"/>
        <w:tab w:val="right" w:pos="8306"/>
      </w:tabs>
      <w:snapToGrid w:val="0"/>
      <w:spacing w:line="240" w:lineRule="atLeast"/>
    </w:pPr>
    <w:rPr>
      <w:sz w:val="18"/>
      <w:szCs w:val="18"/>
    </w:rPr>
  </w:style>
  <w:style w:type="character" w:customStyle="1" w:styleId="PieddepageCar">
    <w:name w:val="Pied de page Car"/>
    <w:link w:val="Pieddepage"/>
    <w:uiPriority w:val="99"/>
    <w:rsid w:val="00807E37"/>
    <w:rPr>
      <w:rFonts w:ascii="Times New Roman" w:eastAsia="Times New Roman" w:hAnsi="Times New Roman" w:cs="Times New Roman"/>
      <w:color w:val="000000"/>
      <w:kern w:val="0"/>
      <w:sz w:val="18"/>
      <w:szCs w:val="18"/>
      <w:lang w:eastAsia="de-DE"/>
    </w:rPr>
  </w:style>
  <w:style w:type="paragraph" w:styleId="En-tte">
    <w:name w:val="header"/>
    <w:basedOn w:val="Normal"/>
    <w:link w:val="En-tteCar"/>
    <w:uiPriority w:val="99"/>
    <w:rsid w:val="00807E37"/>
    <w:pPr>
      <w:pBdr>
        <w:bottom w:val="single" w:sz="6" w:space="1" w:color="auto"/>
      </w:pBdr>
      <w:tabs>
        <w:tab w:val="center" w:pos="4153"/>
        <w:tab w:val="right" w:pos="8306"/>
      </w:tabs>
      <w:snapToGrid w:val="0"/>
      <w:spacing w:line="240" w:lineRule="atLeast"/>
      <w:jc w:val="center"/>
    </w:pPr>
    <w:rPr>
      <w:sz w:val="18"/>
      <w:szCs w:val="18"/>
    </w:rPr>
  </w:style>
  <w:style w:type="character" w:customStyle="1" w:styleId="En-tteCar">
    <w:name w:val="En-tête Car"/>
    <w:link w:val="En-tte"/>
    <w:uiPriority w:val="99"/>
    <w:rsid w:val="00807E37"/>
    <w:rPr>
      <w:rFonts w:ascii="Times New Roman" w:eastAsia="Times New Roman" w:hAnsi="Times New Roman" w:cs="Times New Roman"/>
      <w:color w:val="000000"/>
      <w:kern w:val="0"/>
      <w:sz w:val="18"/>
      <w:szCs w:val="18"/>
      <w:lang w:eastAsia="de-DE"/>
    </w:rPr>
  </w:style>
  <w:style w:type="paragraph" w:customStyle="1" w:styleId="MDPIheaderjournallogo">
    <w:name w:val="MDPI_header_journal_logo"/>
    <w:qFormat/>
    <w:rsid w:val="003F6CE1"/>
    <w:pPr>
      <w:adjustRightInd w:val="0"/>
      <w:snapToGrid w:val="0"/>
      <w:spacing w:line="260" w:lineRule="atLeast"/>
      <w:jc w:val="both"/>
    </w:pPr>
    <w:rPr>
      <w:rFonts w:ascii="Palatino Linotype" w:eastAsia="Times New Roman" w:hAnsi="Palatino Linotype"/>
      <w:i/>
      <w:color w:val="000000"/>
      <w:sz w:val="24"/>
      <w:szCs w:val="22"/>
      <w:lang w:val="en-US" w:eastAsia="de-CH"/>
    </w:rPr>
  </w:style>
  <w:style w:type="paragraph" w:customStyle="1" w:styleId="MDPI32textnoindent">
    <w:name w:val="MDPI_3.2_text_no_indent"/>
    <w:qFormat/>
    <w:rsid w:val="003F6CE1"/>
    <w:pPr>
      <w:adjustRightInd w:val="0"/>
      <w:snapToGrid w:val="0"/>
      <w:spacing w:line="260" w:lineRule="atLeast"/>
      <w:jc w:val="both"/>
    </w:pPr>
    <w:rPr>
      <w:rFonts w:ascii="Palatino Linotype" w:eastAsia="Times New Roman" w:hAnsi="Palatino Linotype"/>
      <w:snapToGrid w:val="0"/>
      <w:color w:val="000000"/>
      <w:szCs w:val="22"/>
      <w:lang w:val="en-US" w:eastAsia="de-DE" w:bidi="en-US"/>
    </w:rPr>
  </w:style>
  <w:style w:type="paragraph" w:customStyle="1" w:styleId="MDPI33textspaceafter">
    <w:name w:val="MDPI_3.3_text_space_after"/>
    <w:qFormat/>
    <w:rsid w:val="003F6CE1"/>
    <w:pPr>
      <w:spacing w:after="240" w:line="260" w:lineRule="atLeast"/>
      <w:jc w:val="both"/>
    </w:pPr>
    <w:rPr>
      <w:rFonts w:ascii="Palatino Linotype" w:eastAsia="Times New Roman" w:hAnsi="Palatino Linotype"/>
      <w:snapToGrid w:val="0"/>
      <w:color w:val="000000"/>
      <w:szCs w:val="22"/>
      <w:lang w:val="en-US" w:eastAsia="de-DE" w:bidi="en-US"/>
    </w:rPr>
  </w:style>
  <w:style w:type="paragraph" w:customStyle="1" w:styleId="MDPI34textspacebefore">
    <w:name w:val="MDPI_3.4_text_space_before"/>
    <w:qFormat/>
    <w:rsid w:val="003F6CE1"/>
    <w:pPr>
      <w:spacing w:before="240" w:line="260" w:lineRule="atLeast"/>
      <w:jc w:val="both"/>
    </w:pPr>
    <w:rPr>
      <w:rFonts w:ascii="Palatino Linotype" w:eastAsia="Times New Roman" w:hAnsi="Palatino Linotype"/>
      <w:snapToGrid w:val="0"/>
      <w:color w:val="000000"/>
      <w:szCs w:val="22"/>
      <w:lang w:val="en-US" w:eastAsia="de-DE" w:bidi="en-US"/>
    </w:rPr>
  </w:style>
  <w:style w:type="paragraph" w:customStyle="1" w:styleId="MDPI35textbeforelist">
    <w:name w:val="MDPI_3.5_text_before_list"/>
    <w:qFormat/>
    <w:rsid w:val="003F6CE1"/>
    <w:pPr>
      <w:spacing w:after="120" w:line="260" w:lineRule="atLeast"/>
      <w:jc w:val="both"/>
    </w:pPr>
    <w:rPr>
      <w:rFonts w:ascii="Palatino Linotype" w:eastAsia="Times New Roman" w:hAnsi="Palatino Linotype"/>
      <w:snapToGrid w:val="0"/>
      <w:color w:val="000000"/>
      <w:szCs w:val="22"/>
      <w:lang w:val="en-US" w:eastAsia="de-DE" w:bidi="en-US"/>
    </w:rPr>
  </w:style>
  <w:style w:type="paragraph" w:customStyle="1" w:styleId="MDPI36textafterlist">
    <w:name w:val="MDPI_3.6_text_after_list"/>
    <w:qFormat/>
    <w:rsid w:val="003F6CE1"/>
    <w:pPr>
      <w:spacing w:before="120" w:line="260" w:lineRule="atLeast"/>
      <w:jc w:val="both"/>
    </w:pPr>
    <w:rPr>
      <w:rFonts w:ascii="Palatino Linotype" w:eastAsia="Times New Roman" w:hAnsi="Palatino Linotype"/>
      <w:snapToGrid w:val="0"/>
      <w:color w:val="000000"/>
      <w:szCs w:val="22"/>
      <w:lang w:val="en-US" w:eastAsia="de-DE" w:bidi="en-US"/>
    </w:rPr>
  </w:style>
  <w:style w:type="paragraph" w:customStyle="1" w:styleId="MDPI37itemize">
    <w:name w:val="MDPI_3.7_itemize"/>
    <w:qFormat/>
    <w:rsid w:val="003F6CE1"/>
    <w:pPr>
      <w:numPr>
        <w:numId w:val="5"/>
      </w:numPr>
      <w:spacing w:line="260" w:lineRule="atLeast"/>
      <w:jc w:val="both"/>
    </w:pPr>
    <w:rPr>
      <w:rFonts w:ascii="Palatino Linotype" w:eastAsia="Times New Roman" w:hAnsi="Palatino Linotype"/>
      <w:snapToGrid w:val="0"/>
      <w:color w:val="000000"/>
      <w:szCs w:val="22"/>
      <w:lang w:val="en-US" w:eastAsia="de-DE" w:bidi="en-US"/>
    </w:rPr>
  </w:style>
  <w:style w:type="paragraph" w:customStyle="1" w:styleId="MDPI38bullet">
    <w:name w:val="MDPI_3.8_bullet"/>
    <w:qFormat/>
    <w:rsid w:val="003F6CE1"/>
    <w:pPr>
      <w:numPr>
        <w:numId w:val="6"/>
      </w:numPr>
      <w:adjustRightInd w:val="0"/>
      <w:snapToGrid w:val="0"/>
      <w:spacing w:line="260" w:lineRule="atLeast"/>
      <w:jc w:val="both"/>
    </w:pPr>
    <w:rPr>
      <w:rFonts w:ascii="Palatino Linotype" w:eastAsia="Times New Roman" w:hAnsi="Palatino Linotype"/>
      <w:snapToGrid w:val="0"/>
      <w:color w:val="000000"/>
      <w:szCs w:val="22"/>
      <w:lang w:val="en-US" w:eastAsia="de-DE" w:bidi="en-US"/>
    </w:rPr>
  </w:style>
  <w:style w:type="paragraph" w:customStyle="1" w:styleId="MDPI39equation">
    <w:name w:val="MDPI_3.9_equation"/>
    <w:qFormat/>
    <w:rsid w:val="003F6CE1"/>
    <w:pPr>
      <w:adjustRightInd w:val="0"/>
      <w:snapToGrid w:val="0"/>
      <w:spacing w:before="120" w:after="120" w:line="260" w:lineRule="atLeast"/>
      <w:ind w:left="709"/>
      <w:jc w:val="center"/>
    </w:pPr>
    <w:rPr>
      <w:rFonts w:ascii="Palatino Linotype" w:eastAsia="Times New Roman" w:hAnsi="Palatino Linotype"/>
      <w:snapToGrid w:val="0"/>
      <w:color w:val="000000"/>
      <w:szCs w:val="22"/>
      <w:lang w:val="en-US" w:eastAsia="de-DE" w:bidi="en-US"/>
    </w:rPr>
  </w:style>
  <w:style w:type="paragraph" w:customStyle="1" w:styleId="MDPI3aequationnumber">
    <w:name w:val="MDPI_3.a_equation_number"/>
    <w:qFormat/>
    <w:rsid w:val="003F6CE1"/>
    <w:pPr>
      <w:spacing w:before="120" w:after="120"/>
      <w:jc w:val="right"/>
    </w:pPr>
    <w:rPr>
      <w:rFonts w:ascii="Palatino Linotype" w:eastAsia="Times New Roman" w:hAnsi="Palatino Linotype"/>
      <w:snapToGrid w:val="0"/>
      <w:color w:val="000000"/>
      <w:szCs w:val="22"/>
      <w:lang w:val="en-US" w:eastAsia="de-DE" w:bidi="en-US"/>
    </w:rPr>
  </w:style>
  <w:style w:type="paragraph" w:customStyle="1" w:styleId="MDPI62Acknowledgments">
    <w:name w:val="MDPI_6.2_Acknowledgments"/>
    <w:qFormat/>
    <w:rsid w:val="003F6CE1"/>
    <w:pPr>
      <w:adjustRightInd w:val="0"/>
      <w:snapToGrid w:val="0"/>
      <w:spacing w:before="120" w:line="200" w:lineRule="atLeast"/>
      <w:jc w:val="both"/>
    </w:pPr>
    <w:rPr>
      <w:rFonts w:ascii="Palatino Linotype" w:eastAsia="Times New Roman" w:hAnsi="Palatino Linotype"/>
      <w:snapToGrid w:val="0"/>
      <w:color w:val="000000"/>
      <w:sz w:val="18"/>
      <w:lang w:val="en-US" w:eastAsia="de-DE" w:bidi="en-US"/>
    </w:rPr>
  </w:style>
  <w:style w:type="paragraph" w:customStyle="1" w:styleId="MDPI41tablecaption">
    <w:name w:val="MDPI_4.1_table_caption"/>
    <w:qFormat/>
    <w:rsid w:val="003F6CE1"/>
    <w:pPr>
      <w:adjustRightInd w:val="0"/>
      <w:snapToGrid w:val="0"/>
      <w:spacing w:before="240" w:after="120" w:line="260" w:lineRule="atLeast"/>
      <w:ind w:left="425" w:right="425"/>
      <w:jc w:val="both"/>
    </w:pPr>
    <w:rPr>
      <w:rFonts w:ascii="Palatino Linotype" w:eastAsia="Times New Roman" w:hAnsi="Palatino Linotype" w:cstheme="minorBidi"/>
      <w:color w:val="000000"/>
      <w:sz w:val="18"/>
      <w:szCs w:val="22"/>
      <w:lang w:val="en-US" w:eastAsia="de-DE" w:bidi="en-US"/>
    </w:rPr>
  </w:style>
  <w:style w:type="paragraph" w:customStyle="1" w:styleId="MDPI42tablebody">
    <w:name w:val="MDPI_4.2_table_body"/>
    <w:qFormat/>
    <w:rsid w:val="00797F16"/>
    <w:pPr>
      <w:adjustRightInd w:val="0"/>
      <w:snapToGrid w:val="0"/>
      <w:spacing w:line="260" w:lineRule="atLeast"/>
      <w:jc w:val="center"/>
    </w:pPr>
    <w:rPr>
      <w:rFonts w:ascii="Palatino Linotype" w:eastAsia="Times New Roman" w:hAnsi="Palatino Linotype"/>
      <w:snapToGrid w:val="0"/>
      <w:color w:val="000000"/>
      <w:lang w:val="en-US" w:eastAsia="de-DE" w:bidi="en-US"/>
    </w:rPr>
  </w:style>
  <w:style w:type="paragraph" w:customStyle="1" w:styleId="MDPI43tablefooter">
    <w:name w:val="MDPI_4.3_table_footer"/>
    <w:next w:val="MDPI31text"/>
    <w:qFormat/>
    <w:rsid w:val="003F6CE1"/>
    <w:pPr>
      <w:adjustRightInd w:val="0"/>
      <w:snapToGrid w:val="0"/>
      <w:spacing w:after="240" w:line="260" w:lineRule="atLeast"/>
      <w:jc w:val="both"/>
    </w:pPr>
    <w:rPr>
      <w:rFonts w:ascii="Palatino Linotype" w:eastAsia="Times New Roman" w:hAnsi="Palatino Linotype" w:cstheme="minorBidi"/>
      <w:color w:val="000000"/>
      <w:sz w:val="18"/>
      <w:szCs w:val="22"/>
      <w:lang w:val="en-US" w:eastAsia="de-DE" w:bidi="en-US"/>
    </w:rPr>
  </w:style>
  <w:style w:type="paragraph" w:customStyle="1" w:styleId="MDPI51figurecaption">
    <w:name w:val="MDPI_5.1_figure_caption"/>
    <w:qFormat/>
    <w:rsid w:val="003F6CE1"/>
    <w:pPr>
      <w:adjustRightInd w:val="0"/>
      <w:snapToGrid w:val="0"/>
      <w:spacing w:before="120" w:after="240" w:line="260" w:lineRule="atLeast"/>
      <w:ind w:left="425" w:right="425"/>
      <w:jc w:val="both"/>
    </w:pPr>
    <w:rPr>
      <w:rFonts w:ascii="Palatino Linotype" w:eastAsia="Times New Roman" w:hAnsi="Palatino Linotype"/>
      <w:color w:val="000000"/>
      <w:sz w:val="18"/>
      <w:lang w:val="en-US" w:eastAsia="de-DE" w:bidi="en-US"/>
    </w:rPr>
  </w:style>
  <w:style w:type="paragraph" w:customStyle="1" w:styleId="MDPI52figure">
    <w:name w:val="MDPI_5.2_figure"/>
    <w:qFormat/>
    <w:rsid w:val="003F6CE1"/>
    <w:pPr>
      <w:adjustRightInd w:val="0"/>
      <w:snapToGrid w:val="0"/>
      <w:spacing w:before="240" w:after="120" w:line="260" w:lineRule="atLeast"/>
      <w:jc w:val="center"/>
    </w:pPr>
    <w:rPr>
      <w:rFonts w:ascii="Palatino Linotype" w:eastAsia="Times New Roman" w:hAnsi="Palatino Linotype"/>
      <w:snapToGrid w:val="0"/>
      <w:color w:val="000000"/>
      <w:lang w:val="en-US" w:eastAsia="de-DE" w:bidi="en-US"/>
    </w:rPr>
  </w:style>
  <w:style w:type="paragraph" w:customStyle="1" w:styleId="MDPI61Supplementary">
    <w:name w:val="MDPI_6.1_Supplementary"/>
    <w:qFormat/>
    <w:rsid w:val="003F6CE1"/>
    <w:pPr>
      <w:spacing w:before="240" w:line="260" w:lineRule="atLeast"/>
      <w:jc w:val="both"/>
    </w:pPr>
    <w:rPr>
      <w:rFonts w:ascii="Palatino Linotype" w:eastAsia="Times New Roman" w:hAnsi="Palatino Linotype"/>
      <w:snapToGrid w:val="0"/>
      <w:color w:val="000000"/>
      <w:sz w:val="18"/>
      <w:lang w:val="en-US" w:eastAsia="en-US" w:bidi="en-US"/>
    </w:rPr>
  </w:style>
  <w:style w:type="paragraph" w:customStyle="1" w:styleId="MDPI63AuthorContributions">
    <w:name w:val="MDPI_6.3_AuthorContributions"/>
    <w:qFormat/>
    <w:rsid w:val="003F6CE1"/>
    <w:pPr>
      <w:spacing w:line="260" w:lineRule="atLeast"/>
      <w:jc w:val="both"/>
    </w:pPr>
    <w:rPr>
      <w:rFonts w:ascii="Palatino Linotype" w:hAnsi="Palatino Linotype"/>
      <w:snapToGrid w:val="0"/>
      <w:sz w:val="18"/>
      <w:lang w:val="en-US" w:eastAsia="en-US" w:bidi="en-US"/>
    </w:rPr>
  </w:style>
  <w:style w:type="paragraph" w:customStyle="1" w:styleId="MDPI64CoI">
    <w:name w:val="MDPI_6.4_CoI"/>
    <w:qFormat/>
    <w:rsid w:val="003F6CE1"/>
    <w:pPr>
      <w:adjustRightInd w:val="0"/>
      <w:snapToGrid w:val="0"/>
      <w:spacing w:before="120" w:after="120" w:line="260" w:lineRule="atLeast"/>
      <w:jc w:val="both"/>
    </w:pPr>
    <w:rPr>
      <w:rFonts w:ascii="Palatino Linotype" w:eastAsia="Times New Roman" w:hAnsi="Palatino Linotype"/>
      <w:snapToGrid w:val="0"/>
      <w:color w:val="000000"/>
      <w:sz w:val="18"/>
      <w:lang w:val="en-US" w:eastAsia="de-DE" w:bidi="en-US"/>
    </w:rPr>
  </w:style>
  <w:style w:type="paragraph" w:customStyle="1" w:styleId="MDPI81theorem">
    <w:name w:val="MDPI_8.1_theorem"/>
    <w:qFormat/>
    <w:rsid w:val="003F6CE1"/>
    <w:pPr>
      <w:spacing w:line="260" w:lineRule="atLeast"/>
      <w:jc w:val="both"/>
    </w:pPr>
    <w:rPr>
      <w:rFonts w:ascii="Palatino Linotype" w:eastAsia="Times New Roman" w:hAnsi="Palatino Linotype"/>
      <w:i/>
      <w:snapToGrid w:val="0"/>
      <w:color w:val="000000"/>
      <w:szCs w:val="22"/>
      <w:lang w:val="en-US" w:eastAsia="de-DE" w:bidi="en-US"/>
    </w:rPr>
  </w:style>
  <w:style w:type="paragraph" w:customStyle="1" w:styleId="MDPI82proof">
    <w:name w:val="MDPI_8.2_proof"/>
    <w:qFormat/>
    <w:rsid w:val="003F6CE1"/>
    <w:pPr>
      <w:spacing w:line="260" w:lineRule="atLeast"/>
      <w:jc w:val="both"/>
    </w:pPr>
    <w:rPr>
      <w:rFonts w:ascii="Palatino Linotype" w:eastAsia="Times New Roman" w:hAnsi="Palatino Linotype"/>
      <w:snapToGrid w:val="0"/>
      <w:color w:val="000000"/>
      <w:szCs w:val="22"/>
      <w:lang w:val="en-US" w:eastAsia="de-DE" w:bidi="en-US"/>
    </w:rPr>
  </w:style>
  <w:style w:type="paragraph" w:customStyle="1" w:styleId="MDPI31text">
    <w:name w:val="MDPI_3.1_text"/>
    <w:qFormat/>
    <w:rsid w:val="003F6CE1"/>
    <w:pPr>
      <w:adjustRightInd w:val="0"/>
      <w:snapToGrid w:val="0"/>
      <w:spacing w:line="260" w:lineRule="atLeast"/>
      <w:ind w:firstLine="425"/>
      <w:jc w:val="both"/>
    </w:pPr>
    <w:rPr>
      <w:rFonts w:ascii="Palatino Linotype" w:eastAsia="Times New Roman" w:hAnsi="Palatino Linotype"/>
      <w:snapToGrid w:val="0"/>
      <w:color w:val="000000"/>
      <w:szCs w:val="22"/>
      <w:lang w:val="en-US" w:eastAsia="de-DE" w:bidi="en-US"/>
    </w:rPr>
  </w:style>
  <w:style w:type="paragraph" w:customStyle="1" w:styleId="MDPI23heading3">
    <w:name w:val="MDPI_2.3_heading3"/>
    <w:qFormat/>
    <w:rsid w:val="003F6CE1"/>
    <w:pPr>
      <w:adjustRightInd w:val="0"/>
      <w:snapToGrid w:val="0"/>
      <w:spacing w:before="240" w:after="120" w:line="260" w:lineRule="atLeast"/>
      <w:outlineLvl w:val="2"/>
    </w:pPr>
    <w:rPr>
      <w:rFonts w:ascii="Palatino Linotype" w:eastAsia="Times New Roman" w:hAnsi="Palatino Linotype"/>
      <w:snapToGrid w:val="0"/>
      <w:color w:val="000000"/>
      <w:szCs w:val="22"/>
      <w:lang w:val="en-US" w:eastAsia="de-DE" w:bidi="en-US"/>
    </w:rPr>
  </w:style>
  <w:style w:type="paragraph" w:customStyle="1" w:styleId="MDPI21heading1">
    <w:name w:val="MDPI_2.1_heading1"/>
    <w:qFormat/>
    <w:rsid w:val="003F6CE1"/>
    <w:pPr>
      <w:adjustRightInd w:val="0"/>
      <w:snapToGrid w:val="0"/>
      <w:spacing w:before="240" w:after="120" w:line="260" w:lineRule="atLeast"/>
      <w:jc w:val="both"/>
      <w:outlineLvl w:val="0"/>
    </w:pPr>
    <w:rPr>
      <w:rFonts w:ascii="Palatino Linotype" w:eastAsia="Times New Roman" w:hAnsi="Palatino Linotype"/>
      <w:b/>
      <w:snapToGrid w:val="0"/>
      <w:color w:val="000000"/>
      <w:szCs w:val="22"/>
      <w:lang w:val="en-US" w:eastAsia="de-DE" w:bidi="en-US"/>
    </w:rPr>
  </w:style>
  <w:style w:type="paragraph" w:customStyle="1" w:styleId="MDPI22heading2">
    <w:name w:val="MDPI_2.2_heading2"/>
    <w:qFormat/>
    <w:rsid w:val="003F6CE1"/>
    <w:pPr>
      <w:adjustRightInd w:val="0"/>
      <w:snapToGrid w:val="0"/>
      <w:spacing w:before="240" w:after="120" w:line="260" w:lineRule="atLeast"/>
      <w:outlineLvl w:val="1"/>
    </w:pPr>
    <w:rPr>
      <w:rFonts w:ascii="Palatino Linotype" w:eastAsia="Times New Roman" w:hAnsi="Palatino Linotype"/>
      <w:i/>
      <w:noProof/>
      <w:snapToGrid w:val="0"/>
      <w:color w:val="000000"/>
      <w:szCs w:val="22"/>
      <w:lang w:val="en-US" w:eastAsia="de-DE" w:bidi="en-US"/>
    </w:rPr>
  </w:style>
  <w:style w:type="paragraph" w:customStyle="1" w:styleId="MDPI71References">
    <w:name w:val="MDPI_7.1_References"/>
    <w:qFormat/>
    <w:rsid w:val="003F6CE1"/>
    <w:pPr>
      <w:numPr>
        <w:numId w:val="7"/>
      </w:numPr>
      <w:spacing w:line="260" w:lineRule="atLeast"/>
      <w:jc w:val="both"/>
    </w:pPr>
    <w:rPr>
      <w:rFonts w:ascii="Palatino Linotype" w:eastAsia="Times New Roman" w:hAnsi="Palatino Linotype"/>
      <w:snapToGrid w:val="0"/>
      <w:color w:val="000000"/>
      <w:sz w:val="18"/>
      <w:lang w:val="en-US" w:eastAsia="de-DE" w:bidi="en-US"/>
    </w:rPr>
  </w:style>
  <w:style w:type="paragraph" w:styleId="Textedebulles">
    <w:name w:val="Balloon Text"/>
    <w:basedOn w:val="Normal"/>
    <w:link w:val="TextedebullesCar"/>
    <w:uiPriority w:val="99"/>
    <w:semiHidden/>
    <w:unhideWhenUsed/>
    <w:rsid w:val="00807E37"/>
    <w:pPr>
      <w:spacing w:line="240" w:lineRule="auto"/>
    </w:pPr>
    <w:rPr>
      <w:sz w:val="18"/>
      <w:szCs w:val="18"/>
    </w:rPr>
  </w:style>
  <w:style w:type="character" w:customStyle="1" w:styleId="TextedebullesCar">
    <w:name w:val="Texte de bulles Car"/>
    <w:link w:val="Textedebulles"/>
    <w:uiPriority w:val="99"/>
    <w:semiHidden/>
    <w:rsid w:val="00807E37"/>
    <w:rPr>
      <w:rFonts w:ascii="Times New Roman" w:eastAsia="Times New Roman" w:hAnsi="Times New Roman" w:cs="Times New Roman"/>
      <w:color w:val="000000"/>
      <w:kern w:val="0"/>
      <w:sz w:val="18"/>
      <w:szCs w:val="18"/>
      <w:lang w:eastAsia="de-DE"/>
    </w:rPr>
  </w:style>
  <w:style w:type="character" w:styleId="Numrodeligne">
    <w:name w:val="line number"/>
    <w:basedOn w:val="Policepardfaut"/>
    <w:uiPriority w:val="99"/>
    <w:semiHidden/>
    <w:unhideWhenUsed/>
    <w:rsid w:val="00807E37"/>
  </w:style>
  <w:style w:type="table" w:customStyle="1" w:styleId="MDPI41threelinetable">
    <w:name w:val="MDPI_4.1_three_line_table"/>
    <w:basedOn w:val="TableauNormal"/>
    <w:uiPriority w:val="99"/>
    <w:rsid w:val="003F6CE1"/>
    <w:pPr>
      <w:adjustRightInd w:val="0"/>
      <w:snapToGrid w:val="0"/>
      <w:jc w:val="center"/>
    </w:pPr>
    <w:rPr>
      <w:rFonts w:ascii="Palatino Linotype" w:eastAsiaTheme="minorEastAsia" w:hAnsi="Palatino Linotype"/>
      <w:color w:val="000000"/>
      <w:lang w:val="en-US" w:eastAsia="zh-CN"/>
    </w:rPr>
    <w:tblPr>
      <w:jc w:val="center"/>
      <w:tblBorders>
        <w:top w:val="single" w:sz="8" w:space="0" w:color="auto"/>
        <w:bottom w:val="single" w:sz="8" w:space="0" w:color="auto"/>
      </w:tblBorders>
    </w:tblPr>
    <w:trPr>
      <w:jc w:val="center"/>
    </w:trPr>
    <w:tcPr>
      <w:vAlign w:val="center"/>
    </w:tcPr>
    <w:tblStylePr w:type="firstRow">
      <w:rPr>
        <w:rFonts w:ascii="Palatino Linotype" w:hAnsi="Palatino Linotype"/>
        <w:b/>
        <w:i w:val="0"/>
        <w:sz w:val="20"/>
      </w:rPr>
      <w:tblPr/>
      <w:tcPr>
        <w:tcBorders>
          <w:bottom w:val="single" w:sz="4" w:space="0" w:color="auto"/>
        </w:tcBorders>
      </w:tcPr>
    </w:tblStylePr>
  </w:style>
  <w:style w:type="character" w:styleId="Lienhypertexte">
    <w:name w:val="Hyperlink"/>
    <w:uiPriority w:val="99"/>
    <w:unhideWhenUsed/>
    <w:rsid w:val="003D73BB"/>
    <w:rPr>
      <w:color w:val="0563C1"/>
      <w:u w:val="single"/>
    </w:rPr>
  </w:style>
  <w:style w:type="character" w:customStyle="1" w:styleId="Mentionnonrsolue1">
    <w:name w:val="Mention non résolue1"/>
    <w:uiPriority w:val="99"/>
    <w:semiHidden/>
    <w:unhideWhenUsed/>
    <w:rsid w:val="00C60885"/>
    <w:rPr>
      <w:color w:val="605E5C"/>
      <w:shd w:val="clear" w:color="auto" w:fill="E1DFDD"/>
    </w:rPr>
  </w:style>
  <w:style w:type="table" w:styleId="Tableausimple4">
    <w:name w:val="Plain Table 4"/>
    <w:basedOn w:val="TableauNormal"/>
    <w:uiPriority w:val="44"/>
    <w:rsid w:val="00FF09E8"/>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st1">
    <w:name w:val="st1"/>
    <w:basedOn w:val="Policepardfaut"/>
    <w:rsid w:val="00404FA3"/>
  </w:style>
  <w:style w:type="paragraph" w:customStyle="1" w:styleId="TAMainText">
    <w:name w:val="TA_Main_Text"/>
    <w:basedOn w:val="Normal"/>
    <w:autoRedefine/>
    <w:rsid w:val="0096534C"/>
    <w:pPr>
      <w:spacing w:after="60" w:line="240" w:lineRule="auto"/>
    </w:pPr>
    <w:rPr>
      <w:rFonts w:ascii="Arno Pro" w:hAnsi="Arno Pro"/>
      <w:color w:val="auto"/>
      <w:kern w:val="21"/>
      <w:sz w:val="18"/>
      <w:szCs w:val="18"/>
      <w:lang w:eastAsia="en-US"/>
    </w:rPr>
  </w:style>
  <w:style w:type="character" w:customStyle="1" w:styleId="RSCR02ReferencesChar">
    <w:name w:val="RSC R02 References Char"/>
    <w:basedOn w:val="Policepardfaut"/>
    <w:link w:val="RSCR02References"/>
    <w:locked/>
    <w:rsid w:val="00B15DDE"/>
    <w:rPr>
      <w:rFonts w:asciiTheme="minorHAnsi" w:eastAsiaTheme="minorHAnsi" w:hAnsiTheme="minorHAnsi"/>
      <w:w w:val="105"/>
      <w:sz w:val="18"/>
      <w:szCs w:val="18"/>
      <w:lang w:val="en-GB"/>
    </w:rPr>
  </w:style>
  <w:style w:type="paragraph" w:customStyle="1" w:styleId="RSCR02References">
    <w:name w:val="RSC R02 References"/>
    <w:link w:val="RSCR02ReferencesChar"/>
    <w:qFormat/>
    <w:rsid w:val="00B15DDE"/>
    <w:pPr>
      <w:numPr>
        <w:numId w:val="4"/>
      </w:numPr>
      <w:tabs>
        <w:tab w:val="left" w:pos="284"/>
      </w:tabs>
      <w:spacing w:line="200" w:lineRule="exact"/>
      <w:ind w:left="284" w:hanging="284"/>
    </w:pPr>
    <w:rPr>
      <w:rFonts w:asciiTheme="minorHAnsi" w:eastAsiaTheme="minorHAnsi" w:hAnsiTheme="minorHAnsi"/>
      <w:w w:val="105"/>
      <w:sz w:val="18"/>
      <w:szCs w:val="18"/>
      <w:lang w:val="en-GB"/>
    </w:rPr>
  </w:style>
  <w:style w:type="character" w:styleId="Marquedecommentaire">
    <w:name w:val="annotation reference"/>
    <w:basedOn w:val="Policepardfaut"/>
    <w:uiPriority w:val="99"/>
    <w:unhideWhenUsed/>
    <w:rsid w:val="00F808C7"/>
    <w:rPr>
      <w:sz w:val="16"/>
      <w:szCs w:val="16"/>
    </w:rPr>
  </w:style>
  <w:style w:type="paragraph" w:styleId="Commentaire">
    <w:name w:val="annotation text"/>
    <w:basedOn w:val="Normal"/>
    <w:link w:val="CommentaireCar"/>
    <w:uiPriority w:val="99"/>
    <w:unhideWhenUsed/>
    <w:rsid w:val="00F808C7"/>
    <w:pPr>
      <w:spacing w:line="240" w:lineRule="auto"/>
    </w:pPr>
    <w:rPr>
      <w:sz w:val="20"/>
    </w:rPr>
  </w:style>
  <w:style w:type="character" w:customStyle="1" w:styleId="CommentaireCar">
    <w:name w:val="Commentaire Car"/>
    <w:basedOn w:val="Policepardfaut"/>
    <w:link w:val="Commentaire"/>
    <w:uiPriority w:val="99"/>
    <w:rsid w:val="00F808C7"/>
    <w:rPr>
      <w:rFonts w:ascii="Times New Roman" w:eastAsia="Times New Roman" w:hAnsi="Times New Roman"/>
      <w:color w:val="000000"/>
      <w:lang w:val="en-US" w:eastAsia="de-DE"/>
    </w:rPr>
  </w:style>
  <w:style w:type="paragraph" w:styleId="Objetducommentaire">
    <w:name w:val="annotation subject"/>
    <w:basedOn w:val="Commentaire"/>
    <w:next w:val="Commentaire"/>
    <w:link w:val="ObjetducommentaireCar"/>
    <w:uiPriority w:val="99"/>
    <w:semiHidden/>
    <w:unhideWhenUsed/>
    <w:rsid w:val="00F808C7"/>
    <w:rPr>
      <w:b/>
      <w:bCs/>
    </w:rPr>
  </w:style>
  <w:style w:type="character" w:customStyle="1" w:styleId="ObjetducommentaireCar">
    <w:name w:val="Objet du commentaire Car"/>
    <w:basedOn w:val="CommentaireCar"/>
    <w:link w:val="Objetducommentaire"/>
    <w:uiPriority w:val="99"/>
    <w:semiHidden/>
    <w:rsid w:val="00F808C7"/>
    <w:rPr>
      <w:rFonts w:ascii="Times New Roman" w:eastAsia="Times New Roman" w:hAnsi="Times New Roman"/>
      <w:b/>
      <w:bCs/>
      <w:color w:val="000000"/>
      <w:lang w:val="en-US" w:eastAsia="de-DE"/>
    </w:rPr>
  </w:style>
  <w:style w:type="paragraph" w:styleId="Rvision">
    <w:name w:val="Revision"/>
    <w:hidden/>
    <w:uiPriority w:val="99"/>
    <w:semiHidden/>
    <w:rsid w:val="001D3272"/>
    <w:rPr>
      <w:rFonts w:ascii="Times New Roman" w:eastAsia="Times New Roman" w:hAnsi="Times New Roman"/>
      <w:color w:val="000000"/>
      <w:sz w:val="24"/>
      <w:lang w:val="en-US" w:eastAsia="de-DE"/>
    </w:rPr>
  </w:style>
  <w:style w:type="paragraph" w:customStyle="1" w:styleId="MDPI15academiceditor">
    <w:name w:val="MDPI_1.5_academic_editor"/>
    <w:qFormat/>
    <w:rsid w:val="003F6CE1"/>
    <w:pPr>
      <w:adjustRightInd w:val="0"/>
      <w:snapToGrid w:val="0"/>
      <w:spacing w:line="260" w:lineRule="atLeast"/>
      <w:ind w:left="113"/>
    </w:pPr>
    <w:rPr>
      <w:rFonts w:ascii="Palatino Linotype" w:eastAsia="Times New Roman" w:hAnsi="Palatino Linotype"/>
      <w:color w:val="000000"/>
      <w:sz w:val="18"/>
      <w:szCs w:val="22"/>
      <w:lang w:val="en-US" w:eastAsia="de-DE" w:bidi="en-US"/>
    </w:rPr>
  </w:style>
  <w:style w:type="paragraph" w:customStyle="1" w:styleId="MDPI19classification">
    <w:name w:val="MDPI_1.9_classification"/>
    <w:qFormat/>
    <w:rsid w:val="003F6CE1"/>
    <w:pPr>
      <w:spacing w:before="240" w:line="260" w:lineRule="atLeast"/>
      <w:ind w:left="113"/>
      <w:jc w:val="both"/>
    </w:pPr>
    <w:rPr>
      <w:rFonts w:ascii="Palatino Linotype" w:eastAsia="Times New Roman" w:hAnsi="Palatino Linotype"/>
      <w:b/>
      <w:color w:val="000000"/>
      <w:szCs w:val="22"/>
      <w:lang w:val="en-US" w:eastAsia="de-DE" w:bidi="en-US"/>
    </w:rPr>
  </w:style>
  <w:style w:type="paragraph" w:customStyle="1" w:styleId="MDPI411onetablecaption">
    <w:name w:val="MDPI_4.1.1_one_table_caption"/>
    <w:qFormat/>
    <w:rsid w:val="003F6CE1"/>
    <w:pPr>
      <w:adjustRightInd w:val="0"/>
      <w:snapToGrid w:val="0"/>
      <w:spacing w:before="240" w:after="120" w:line="260" w:lineRule="atLeast"/>
      <w:jc w:val="center"/>
    </w:pPr>
    <w:rPr>
      <w:rFonts w:ascii="Palatino Linotype" w:eastAsiaTheme="minorEastAsia" w:hAnsi="Palatino Linotype" w:cstheme="minorBidi"/>
      <w:noProof/>
      <w:color w:val="000000"/>
      <w:sz w:val="18"/>
      <w:szCs w:val="22"/>
      <w:lang w:val="en-US" w:eastAsia="zh-CN" w:bidi="en-US"/>
    </w:rPr>
  </w:style>
  <w:style w:type="paragraph" w:customStyle="1" w:styleId="MDPI511onefigurecaption">
    <w:name w:val="MDPI_5.1.1_one_figure_caption"/>
    <w:qFormat/>
    <w:rsid w:val="003F6CE1"/>
    <w:pPr>
      <w:adjustRightInd w:val="0"/>
      <w:snapToGrid w:val="0"/>
      <w:spacing w:before="240" w:after="120" w:line="260" w:lineRule="atLeast"/>
      <w:jc w:val="center"/>
    </w:pPr>
    <w:rPr>
      <w:rFonts w:ascii="Palatino Linotype" w:eastAsiaTheme="minorEastAsia" w:hAnsi="Palatino Linotype"/>
      <w:noProof/>
      <w:color w:val="000000"/>
      <w:sz w:val="18"/>
      <w:lang w:val="en-US" w:eastAsia="zh-CN" w:bidi="en-US"/>
    </w:rPr>
  </w:style>
  <w:style w:type="paragraph" w:customStyle="1" w:styleId="MDPI72Copyright">
    <w:name w:val="MDPI_7.2_Copyright"/>
    <w:qFormat/>
    <w:rsid w:val="003F6CE1"/>
    <w:pPr>
      <w:adjustRightInd w:val="0"/>
      <w:snapToGrid w:val="0"/>
      <w:spacing w:before="400" w:line="260" w:lineRule="atLeast"/>
      <w:jc w:val="both"/>
    </w:pPr>
    <w:rPr>
      <w:rFonts w:ascii="Palatino Linotype" w:eastAsia="Times New Roman" w:hAnsi="Palatino Linotype"/>
      <w:noProof/>
      <w:snapToGrid w:val="0"/>
      <w:color w:val="000000"/>
      <w:spacing w:val="-2"/>
      <w:sz w:val="18"/>
      <w:lang w:val="en-GB" w:eastAsia="en-GB"/>
    </w:rPr>
  </w:style>
  <w:style w:type="paragraph" w:customStyle="1" w:styleId="MDPI73CopyrightImage">
    <w:name w:val="MDPI_7.3_CopyrightImage"/>
    <w:rsid w:val="003F6CE1"/>
    <w:pPr>
      <w:adjustRightInd w:val="0"/>
      <w:snapToGrid w:val="0"/>
      <w:spacing w:after="100" w:line="260" w:lineRule="atLeast"/>
      <w:jc w:val="right"/>
    </w:pPr>
    <w:rPr>
      <w:rFonts w:ascii="Palatino Linotype" w:eastAsia="Times New Roman" w:hAnsi="Palatino Linotype"/>
      <w:color w:val="000000"/>
      <w:lang w:val="en-US" w:eastAsia="de-CH"/>
    </w:rPr>
  </w:style>
  <w:style w:type="paragraph" w:customStyle="1" w:styleId="MDPIequationFram">
    <w:name w:val="MDPI_equationFram"/>
    <w:qFormat/>
    <w:rsid w:val="003F6CE1"/>
    <w:pPr>
      <w:adjustRightInd w:val="0"/>
      <w:snapToGrid w:val="0"/>
      <w:spacing w:before="120" w:after="120"/>
      <w:jc w:val="center"/>
    </w:pPr>
    <w:rPr>
      <w:rFonts w:ascii="Palatino Linotype" w:eastAsia="Times New Roman" w:hAnsi="Palatino Linotype"/>
      <w:snapToGrid w:val="0"/>
      <w:color w:val="000000"/>
      <w:szCs w:val="22"/>
      <w:lang w:val="en-US" w:eastAsia="de-DE" w:bidi="en-US"/>
    </w:rPr>
  </w:style>
  <w:style w:type="paragraph" w:customStyle="1" w:styleId="MDPIfooter">
    <w:name w:val="MDPI_footer"/>
    <w:qFormat/>
    <w:rsid w:val="003F6CE1"/>
    <w:pPr>
      <w:adjustRightInd w:val="0"/>
      <w:snapToGrid w:val="0"/>
      <w:spacing w:before="120" w:line="260" w:lineRule="atLeast"/>
      <w:jc w:val="center"/>
    </w:pPr>
    <w:rPr>
      <w:rFonts w:ascii="Palatino Linotype" w:eastAsia="Times New Roman" w:hAnsi="Palatino Linotype"/>
      <w:color w:val="000000"/>
      <w:lang w:val="en-US" w:eastAsia="de-DE"/>
    </w:rPr>
  </w:style>
  <w:style w:type="paragraph" w:customStyle="1" w:styleId="MDPIfooterfirstpage">
    <w:name w:val="MDPI_footer_firstpage"/>
    <w:qFormat/>
    <w:rsid w:val="003F6CE1"/>
    <w:pPr>
      <w:tabs>
        <w:tab w:val="right" w:pos="8845"/>
      </w:tabs>
      <w:spacing w:line="160" w:lineRule="exact"/>
    </w:pPr>
    <w:rPr>
      <w:rFonts w:ascii="Palatino Linotype" w:eastAsia="Times New Roman" w:hAnsi="Palatino Linotype"/>
      <w:color w:val="000000"/>
      <w:sz w:val="16"/>
      <w:lang w:val="en-US" w:eastAsia="de-DE"/>
    </w:rPr>
  </w:style>
  <w:style w:type="paragraph" w:customStyle="1" w:styleId="MDPIheader">
    <w:name w:val="MDPI_header"/>
    <w:qFormat/>
    <w:rsid w:val="003F6CE1"/>
    <w:pPr>
      <w:adjustRightInd w:val="0"/>
      <w:snapToGrid w:val="0"/>
      <w:spacing w:after="240" w:line="260" w:lineRule="atLeast"/>
      <w:jc w:val="both"/>
    </w:pPr>
    <w:rPr>
      <w:rFonts w:ascii="Palatino Linotype" w:eastAsia="Times New Roman" w:hAnsi="Palatino Linotype"/>
      <w:iCs/>
      <w:color w:val="000000"/>
      <w:sz w:val="16"/>
      <w:lang w:val="en-US" w:eastAsia="de-DE"/>
    </w:rPr>
  </w:style>
  <w:style w:type="paragraph" w:customStyle="1" w:styleId="MDPIheadercitation">
    <w:name w:val="MDPI_header_citation"/>
    <w:rsid w:val="003F6CE1"/>
    <w:pPr>
      <w:spacing w:after="240"/>
    </w:pPr>
    <w:rPr>
      <w:rFonts w:ascii="Palatino Linotype" w:eastAsia="Times New Roman" w:hAnsi="Palatino Linotype"/>
      <w:snapToGrid w:val="0"/>
      <w:color w:val="000000"/>
      <w:sz w:val="18"/>
      <w:lang w:val="en-US" w:eastAsia="de-DE" w:bidi="en-US"/>
    </w:rPr>
  </w:style>
  <w:style w:type="paragraph" w:customStyle="1" w:styleId="MDPIheadermdpilogo">
    <w:name w:val="MDPI_header_mdpi_logo"/>
    <w:qFormat/>
    <w:rsid w:val="003F6CE1"/>
    <w:pPr>
      <w:adjustRightInd w:val="0"/>
      <w:snapToGrid w:val="0"/>
      <w:spacing w:line="260" w:lineRule="atLeast"/>
      <w:jc w:val="right"/>
    </w:pPr>
    <w:rPr>
      <w:rFonts w:ascii="Palatino Linotype" w:eastAsia="Times New Roman" w:hAnsi="Palatino Linotype"/>
      <w:color w:val="000000"/>
      <w:sz w:val="24"/>
      <w:szCs w:val="22"/>
      <w:lang w:val="en-US" w:eastAsia="de-CH"/>
    </w:rPr>
  </w:style>
  <w:style w:type="paragraph" w:customStyle="1" w:styleId="MDPItext">
    <w:name w:val="MDPI_text"/>
    <w:qFormat/>
    <w:rsid w:val="003F6CE1"/>
    <w:pPr>
      <w:spacing w:line="260" w:lineRule="atLeast"/>
      <w:ind w:left="425" w:right="425" w:firstLine="284"/>
      <w:jc w:val="both"/>
    </w:pPr>
    <w:rPr>
      <w:rFonts w:ascii="Times New Roman" w:eastAsia="Times New Roman" w:hAnsi="Times New Roman"/>
      <w:noProof/>
      <w:snapToGrid w:val="0"/>
      <w:color w:val="000000"/>
      <w:sz w:val="22"/>
      <w:szCs w:val="22"/>
      <w:lang w:val="en-US" w:eastAsia="de-DE" w:bidi="en-US"/>
    </w:rPr>
  </w:style>
  <w:style w:type="paragraph" w:customStyle="1" w:styleId="MDPItitle">
    <w:name w:val="MDPI_title"/>
    <w:qFormat/>
    <w:rsid w:val="003F6CE1"/>
    <w:pPr>
      <w:adjustRightInd w:val="0"/>
      <w:snapToGrid w:val="0"/>
      <w:spacing w:after="240" w:line="260" w:lineRule="atLeast"/>
      <w:jc w:val="both"/>
    </w:pPr>
    <w:rPr>
      <w:rFonts w:ascii="Palatino Linotype" w:eastAsia="Times New Roman" w:hAnsi="Palatino Linotype"/>
      <w:b/>
      <w:snapToGrid w:val="0"/>
      <w:color w:val="000000"/>
      <w:sz w:val="36"/>
      <w:lang w:val="en-US" w:eastAsia="de-DE" w:bidi="en-US"/>
    </w:rPr>
  </w:style>
  <w:style w:type="character" w:styleId="lev">
    <w:name w:val="Strong"/>
    <w:basedOn w:val="Policepardfaut"/>
    <w:uiPriority w:val="22"/>
    <w:qFormat/>
    <w:rsid w:val="001E18A8"/>
    <w:rPr>
      <w:b/>
      <w:bCs/>
    </w:rPr>
  </w:style>
  <w:style w:type="character" w:customStyle="1" w:styleId="tlid-translation">
    <w:name w:val="tlid-translation"/>
    <w:basedOn w:val="Policepardfaut"/>
    <w:rsid w:val="00AF65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3090273">
      <w:bodyDiv w:val="1"/>
      <w:marLeft w:val="0"/>
      <w:marRight w:val="0"/>
      <w:marTop w:val="0"/>
      <w:marBottom w:val="0"/>
      <w:divBdr>
        <w:top w:val="none" w:sz="0" w:space="0" w:color="auto"/>
        <w:left w:val="none" w:sz="0" w:space="0" w:color="auto"/>
        <w:bottom w:val="none" w:sz="0" w:space="0" w:color="auto"/>
        <w:right w:val="none" w:sz="0" w:space="0" w:color="auto"/>
      </w:divBdr>
    </w:div>
    <w:div w:id="185757712">
      <w:bodyDiv w:val="1"/>
      <w:marLeft w:val="0"/>
      <w:marRight w:val="0"/>
      <w:marTop w:val="0"/>
      <w:marBottom w:val="0"/>
      <w:divBdr>
        <w:top w:val="none" w:sz="0" w:space="0" w:color="auto"/>
        <w:left w:val="none" w:sz="0" w:space="0" w:color="auto"/>
        <w:bottom w:val="none" w:sz="0" w:space="0" w:color="auto"/>
        <w:right w:val="none" w:sz="0" w:space="0" w:color="auto"/>
      </w:divBdr>
    </w:div>
    <w:div w:id="897588817">
      <w:bodyDiv w:val="1"/>
      <w:marLeft w:val="0"/>
      <w:marRight w:val="0"/>
      <w:marTop w:val="0"/>
      <w:marBottom w:val="0"/>
      <w:divBdr>
        <w:top w:val="none" w:sz="0" w:space="0" w:color="auto"/>
        <w:left w:val="none" w:sz="0" w:space="0" w:color="auto"/>
        <w:bottom w:val="none" w:sz="0" w:space="0" w:color="auto"/>
        <w:right w:val="none" w:sz="0" w:space="0" w:color="auto"/>
      </w:divBdr>
    </w:div>
    <w:div w:id="1464932862">
      <w:bodyDiv w:val="1"/>
      <w:marLeft w:val="0"/>
      <w:marRight w:val="0"/>
      <w:marTop w:val="0"/>
      <w:marBottom w:val="0"/>
      <w:divBdr>
        <w:top w:val="none" w:sz="0" w:space="0" w:color="auto"/>
        <w:left w:val="none" w:sz="0" w:space="0" w:color="auto"/>
        <w:bottom w:val="none" w:sz="0" w:space="0" w:color="auto"/>
        <w:right w:val="none" w:sz="0" w:space="0" w:color="auto"/>
      </w:divBdr>
    </w:div>
  </w:divs>
  <w:encoding w:val="iso-8859-6"/>
  <w:optimizeForBrowser/>
</w:webSettings>
</file>

<file path=word/_rels/comments.xml.rels><?xml version="1.0" encoding="UTF-8" standalone="yes"?>
<Relationships xmlns="http://schemas.openxmlformats.org/package/2006/relationships"><Relationship Id="rId1" Type="http://schemas.openxmlformats.org/officeDocument/2006/relationships/hyperlink" Target="javascript:void(0);" TargetMode="External"/></Relationship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image" Target="media/image4.png"/><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comments" Target="comments.xml"/><Relationship Id="rId12" Type="http://schemas.openxmlformats.org/officeDocument/2006/relationships/image" Target="media/image3.png"/><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1.xml"/><Relationship Id="rId20" Type="http://schemas.microsoft.com/office/2011/relationships/people" Target="peop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webSettings" Target="webSettings.xml"/><Relationship Id="rId9" Type="http://schemas.microsoft.com/office/2016/09/relationships/commentsIds" Target="commentsIds.xml"/><Relationship Id="rId14" Type="http://schemas.openxmlformats.org/officeDocument/2006/relationships/header" Target="header1.xml"/></Relationships>
</file>

<file path=word/_rels/header3.xml.rels><?xml version="1.0" encoding="UTF-8" standalone="yes"?>
<Relationships xmlns="http://schemas.openxmlformats.org/package/2006/relationships"><Relationship Id="rId3" Type="http://schemas.openxmlformats.org/officeDocument/2006/relationships/image" Target="media/image6.png"/><Relationship Id="rId2" Type="http://schemas.openxmlformats.org/officeDocument/2006/relationships/image" Target="media/image50.png"/><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oulembiero\AppData\Local\Microsoft\Windows\Temporary%20Internet%20Files\Content.IE5\VGYKSUMT\catalysts-template.dot"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C:\Users\coulembiero\AppData\Local\Microsoft\Windows\Temporary Internet Files\Content.IE5\VGYKSUMT\catalysts-template.dot</Template>
  <TotalTime>4</TotalTime>
  <Pages>9</Pages>
  <Words>4121</Words>
  <Characters>22792</Characters>
  <Application>Microsoft Office Word</Application>
  <DocSecurity>0</DocSecurity>
  <Lines>345</Lines>
  <Paragraphs>84</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A</vt:lpstr>
      <vt:lpstr/>
    </vt:vector>
  </TitlesOfParts>
  <Company/>
  <LinksUpToDate>false</LinksUpToDate>
  <CharactersWithSpaces>26829</CharactersWithSpaces>
  <SharedDoc>false</SharedDoc>
  <HLinks>
    <vt:vector size="6" baseType="variant">
      <vt:variant>
        <vt:i4>6094915</vt:i4>
      </vt:variant>
      <vt:variant>
        <vt:i4>0</vt:i4>
      </vt:variant>
      <vt:variant>
        <vt:i4>0</vt:i4>
      </vt:variant>
      <vt:variant>
        <vt:i4>5</vt:i4>
      </vt:variant>
      <vt:variant>
        <vt:lpwstr>http://img.mdpi.org/data/contributor-role-instruction.pdf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MDPI</dc:creator>
  <cp:keywords/>
  <dc:description/>
  <cp:lastModifiedBy>Microsoft Office User</cp:lastModifiedBy>
  <cp:revision>3</cp:revision>
  <cp:lastPrinted>2020-06-01T14:05:00Z</cp:lastPrinted>
  <dcterms:created xsi:type="dcterms:W3CDTF">2020-06-02T04:27:00Z</dcterms:created>
  <dcterms:modified xsi:type="dcterms:W3CDTF">2021-04-20T10:38:00Z</dcterms:modified>
</cp:coreProperties>
</file>